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黑体" w:hAnsi="黑体" w:eastAsia="黑体"/>
          <w:sz w:val="44"/>
          <w:szCs w:val="44"/>
        </w:rPr>
      </w:pPr>
      <w:r>
        <w:rPr>
          <w:rFonts w:hint="eastAsia" w:ascii="黑体" w:hAnsi="黑体" w:eastAsia="黑体" w:cs="黑体"/>
          <w:sz w:val="44"/>
          <w:szCs w:val="44"/>
        </w:rPr>
        <w:t>新疆维吾尔自治区人民检察院和田分院</w:t>
      </w:r>
    </w:p>
    <w:p>
      <w:pPr>
        <w:widowControl/>
        <w:spacing w:before="100" w:beforeAutospacing="1" w:after="100" w:afterAutospacing="1"/>
        <w:jc w:val="center"/>
        <w:outlineLvl w:val="1"/>
        <w:rPr>
          <w:rFonts w:ascii="宋体" w:cs="宋体"/>
          <w:kern w:val="0"/>
          <w:sz w:val="36"/>
          <w:szCs w:val="36"/>
        </w:rPr>
      </w:pPr>
      <w:r>
        <w:rPr>
          <w:rFonts w:ascii="黑体" w:hAnsi="黑体" w:eastAsia="黑体" w:cs="黑体"/>
          <w:kern w:val="0"/>
          <w:sz w:val="44"/>
          <w:szCs w:val="44"/>
        </w:rPr>
        <w:t>2020</w:t>
      </w:r>
      <w:r>
        <w:rPr>
          <w:rFonts w:hint="eastAsia" w:ascii="黑体" w:hAnsi="黑体" w:eastAsia="黑体" w:cs="黑体"/>
          <w:kern w:val="0"/>
          <w:sz w:val="44"/>
          <w:szCs w:val="44"/>
        </w:rPr>
        <w:t>年部门预算公开</w:t>
      </w: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before="100" w:beforeAutospacing="1" w:after="100" w:afterAutospacing="1"/>
        <w:jc w:val="center"/>
        <w:outlineLvl w:val="1"/>
        <w:rPr>
          <w:rFonts w:ascii="宋体"/>
          <w:b/>
          <w:bCs/>
          <w:kern w:val="0"/>
          <w:sz w:val="44"/>
          <w:szCs w:val="44"/>
        </w:rPr>
      </w:pPr>
    </w:p>
    <w:p>
      <w:pPr>
        <w:widowControl/>
        <w:spacing w:line="500" w:lineRule="exact"/>
        <w:outlineLvl w:val="1"/>
        <w:rPr>
          <w:rFonts w:ascii="黑体" w:hAnsi="黑体" w:eastAsia="黑体"/>
          <w:kern w:val="0"/>
          <w:sz w:val="36"/>
          <w:szCs w:val="36"/>
        </w:rPr>
      </w:pPr>
    </w:p>
    <w:p>
      <w:pPr>
        <w:widowControl/>
        <w:spacing w:line="500" w:lineRule="exact"/>
        <w:outlineLvl w:val="1"/>
        <w:rPr>
          <w:rFonts w:ascii="黑体" w:hAnsi="黑体" w:eastAsia="黑体"/>
          <w:kern w:val="0"/>
          <w:sz w:val="36"/>
          <w:szCs w:val="36"/>
        </w:rPr>
      </w:pPr>
    </w:p>
    <w:p>
      <w:pPr>
        <w:widowControl/>
        <w:spacing w:line="500" w:lineRule="exact"/>
        <w:outlineLvl w:val="1"/>
        <w:rPr>
          <w:rFonts w:ascii="黑体" w:hAnsi="黑体" w:eastAsia="黑体"/>
          <w:kern w:val="0"/>
          <w:sz w:val="36"/>
          <w:szCs w:val="36"/>
        </w:rPr>
      </w:pPr>
    </w:p>
    <w:p>
      <w:pPr>
        <w:widowControl/>
        <w:spacing w:line="500" w:lineRule="exact"/>
        <w:jc w:val="center"/>
        <w:outlineLvl w:val="1"/>
        <w:rPr>
          <w:rFonts w:ascii="宋体"/>
          <w:b/>
          <w:bCs/>
          <w:kern w:val="0"/>
          <w:sz w:val="44"/>
          <w:szCs w:val="44"/>
        </w:rPr>
      </w:pPr>
      <w:r>
        <w:rPr>
          <w:rFonts w:hint="eastAsia" w:ascii="黑体" w:hAnsi="黑体" w:eastAsia="黑体" w:cs="黑体"/>
          <w:kern w:val="0"/>
          <w:sz w:val="36"/>
          <w:szCs w:val="36"/>
        </w:rPr>
        <w:t>目</w:t>
      </w:r>
      <w:r>
        <w:rPr>
          <w:rFonts w:ascii="黑体" w:hAnsi="黑体" w:eastAsia="黑体" w:cs="黑体"/>
          <w:kern w:val="0"/>
          <w:sz w:val="36"/>
          <w:szCs w:val="36"/>
        </w:rPr>
        <w:t xml:space="preserve"> </w:t>
      </w:r>
      <w:r>
        <w:rPr>
          <w:rFonts w:hint="eastAsia" w:ascii="黑体" w:hAnsi="黑体" w:eastAsia="黑体" w:cs="黑体"/>
          <w:kern w:val="0"/>
          <w:sz w:val="36"/>
          <w:szCs w:val="36"/>
        </w:rPr>
        <w:t>录</w:t>
      </w:r>
    </w:p>
    <w:p>
      <w:pPr>
        <w:widowControl/>
        <w:spacing w:line="460" w:lineRule="exact"/>
        <w:ind w:firstLine="643" w:firstLineChars="20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第一部分</w:t>
      </w:r>
      <w:r>
        <w:rPr>
          <w:rFonts w:hint="eastAsia" w:ascii="宋体" w:hAnsi="宋体" w:cs="宋体"/>
          <w:b/>
          <w:bCs/>
          <w:sz w:val="32"/>
          <w:szCs w:val="32"/>
        </w:rPr>
        <w:t>新疆维吾尔自治区人民检察院和田分院</w:t>
      </w:r>
      <w:r>
        <w:rPr>
          <w:rFonts w:hint="eastAsia" w:ascii="仿宋_GB2312" w:hAnsi="宋体" w:eastAsia="仿宋_GB2312" w:cs="仿宋_GB2312"/>
          <w:b/>
          <w:bCs/>
          <w:kern w:val="0"/>
          <w:sz w:val="32"/>
          <w:szCs w:val="32"/>
        </w:rPr>
        <w:t>部门单位概况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第二部分</w:t>
      </w:r>
      <w:r>
        <w:rPr>
          <w:rFonts w:ascii="仿宋_GB2312" w:hAnsi="宋体" w:eastAsia="仿宋_GB2312" w:cs="仿宋_GB2312"/>
          <w:b/>
          <w:bCs/>
          <w:kern w:val="0"/>
          <w:sz w:val="32"/>
          <w:szCs w:val="32"/>
        </w:rPr>
        <w:t xml:space="preserve"> 2020</w:t>
      </w:r>
      <w:r>
        <w:rPr>
          <w:rFonts w:hint="eastAsia" w:ascii="仿宋_GB2312" w:hAnsi="宋体" w:eastAsia="仿宋_GB2312" w:cs="仿宋_GB2312"/>
          <w:b/>
          <w:bCs/>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七、项目支出情况表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第三部分</w:t>
      </w:r>
      <w:r>
        <w:rPr>
          <w:rFonts w:ascii="仿宋_GB2312" w:hAnsi="宋体" w:eastAsia="仿宋_GB2312" w:cs="仿宋_GB2312"/>
          <w:b/>
          <w:bCs/>
          <w:kern w:val="0"/>
          <w:sz w:val="32"/>
          <w:szCs w:val="32"/>
        </w:rPr>
        <w:t xml:space="preserve">  2020</w:t>
      </w:r>
      <w:r>
        <w:rPr>
          <w:rFonts w:hint="eastAsia" w:ascii="仿宋_GB2312" w:hAnsi="宋体" w:eastAsia="仿宋_GB2312" w:cs="仿宋_GB2312"/>
          <w:b/>
          <w:bCs/>
          <w:kern w:val="0"/>
          <w:sz w:val="32"/>
          <w:szCs w:val="32"/>
        </w:rPr>
        <w:t>年部门预算情况说明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年收支预算情况的总体说明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年收入预算情况说明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年支出预算情况说明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四、关于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年财政拨款收支预算情况的总体说明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五、关于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年一般公共预算当年拨款情况说明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六、关于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年一般公共预算基本支出情况说明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七、关于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年项目支出情况说明</w:t>
      </w:r>
    </w:p>
    <w:p>
      <w:pPr>
        <w:widowControl/>
        <w:spacing w:line="460" w:lineRule="exact"/>
        <w:ind w:left="1278" w:leftChars="304" w:hanging="640" w:hanging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年一</w:t>
      </w:r>
    </w:p>
    <w:p>
      <w:pPr>
        <w:widowControl/>
        <w:spacing w:line="460" w:lineRule="exact"/>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般公共预算“三公”经费预算情况说明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年政府性基金预算拨款情况说明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cs="仿宋_GB2312"/>
          <w:kern w:val="0"/>
          <w:sz w:val="32"/>
          <w:szCs w:val="32"/>
        </w:rPr>
        <w:t>十、其他重要事项的情况说明</w:t>
      </w:r>
    </w:p>
    <w:p>
      <w:pPr>
        <w:widowControl/>
        <w:spacing w:line="460" w:lineRule="exact"/>
        <w:ind w:firstLine="602" w:firstLineChars="200"/>
        <w:outlineLvl w:val="1"/>
        <w:rPr>
          <w:rFonts w:ascii="仿宋_GB2312" w:hAnsi="宋体" w:eastAsia="仿宋_GB2312"/>
          <w:b/>
          <w:bCs/>
          <w:kern w:val="0"/>
          <w:sz w:val="30"/>
          <w:szCs w:val="30"/>
        </w:rPr>
      </w:pPr>
      <w:r>
        <w:rPr>
          <w:rFonts w:hint="eastAsia" w:ascii="仿宋_GB2312" w:hAnsi="宋体" w:eastAsia="仿宋_GB2312" w:cs="仿宋_GB2312"/>
          <w:b/>
          <w:bCs/>
          <w:kern w:val="0"/>
          <w:sz w:val="30"/>
          <w:szCs w:val="30"/>
        </w:rPr>
        <w:t>第四部分</w:t>
      </w:r>
      <w:r>
        <w:rPr>
          <w:rFonts w:ascii="仿宋_GB2312" w:hAnsi="宋体" w:eastAsia="仿宋_GB2312" w:cs="仿宋_GB2312"/>
          <w:b/>
          <w:bCs/>
          <w:kern w:val="0"/>
          <w:sz w:val="30"/>
          <w:szCs w:val="30"/>
        </w:rPr>
        <w:t xml:space="preserve">  </w:t>
      </w:r>
      <w:r>
        <w:rPr>
          <w:rFonts w:hint="eastAsia" w:ascii="仿宋_GB2312" w:hAnsi="宋体" w:eastAsia="仿宋_GB2312" w:cs="仿宋_GB2312"/>
          <w:b/>
          <w:bCs/>
          <w:kern w:val="0"/>
          <w:sz w:val="30"/>
          <w:szCs w:val="30"/>
        </w:rPr>
        <w:t>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cs="黑体"/>
          <w:kern w:val="0"/>
          <w:sz w:val="32"/>
          <w:szCs w:val="32"/>
        </w:rPr>
        <w:t>第一部分</w:t>
      </w:r>
      <w:r>
        <w:rPr>
          <w:rFonts w:ascii="黑体" w:hAnsi="黑体" w:eastAsia="黑体" w:cs="黑体"/>
          <w:kern w:val="0"/>
          <w:sz w:val="32"/>
          <w:szCs w:val="32"/>
        </w:rPr>
        <w:t xml:space="preserve">  </w:t>
      </w:r>
      <w:r>
        <w:rPr>
          <w:rFonts w:hint="eastAsia" w:ascii="宋体" w:hAnsi="宋体" w:cs="宋体"/>
          <w:b/>
          <w:bCs/>
          <w:sz w:val="30"/>
          <w:szCs w:val="30"/>
        </w:rPr>
        <w:t>新疆维吾尔自治区人民检察院和田分院</w:t>
      </w:r>
      <w:r>
        <w:rPr>
          <w:rFonts w:hint="eastAsia" w:ascii="黑体" w:hAnsi="黑体" w:eastAsia="黑体" w:cs="黑体"/>
          <w:kern w:val="0"/>
          <w:sz w:val="32"/>
          <w:szCs w:val="32"/>
        </w:rPr>
        <w:t>概况</w:t>
      </w:r>
    </w:p>
    <w:p>
      <w:pPr>
        <w:widowControl/>
        <w:jc w:val="center"/>
        <w:outlineLvl w:val="1"/>
        <w:rPr>
          <w:rFonts w:ascii="宋体"/>
          <w:b/>
          <w:bCs/>
          <w:kern w:val="0"/>
          <w:sz w:val="32"/>
          <w:szCs w:val="32"/>
        </w:rPr>
      </w:pPr>
    </w:p>
    <w:p>
      <w:pPr>
        <w:widowControl/>
        <w:spacing w:line="560" w:lineRule="exact"/>
        <w:jc w:val="left"/>
        <w:rPr>
          <w:rFonts w:ascii="黑体" w:hAnsi="黑体" w:eastAsia="黑体"/>
          <w:kern w:val="0"/>
          <w:sz w:val="32"/>
          <w:szCs w:val="32"/>
        </w:rPr>
      </w:pPr>
      <w:r>
        <w:rPr>
          <w:rFonts w:hint="eastAsia" w:ascii="仿宋_GB2312" w:hAnsi="宋体" w:eastAsia="仿宋_GB2312" w:cs="仿宋_GB2312"/>
          <w:kern w:val="0"/>
          <w:sz w:val="32"/>
          <w:szCs w:val="32"/>
        </w:rPr>
        <w:t>　</w:t>
      </w:r>
      <w:r>
        <w:rPr>
          <w:rFonts w:ascii="仿宋_GB2312" w:hAnsi="宋体" w:eastAsia="仿宋_GB2312" w:cs="仿宋_GB2312"/>
          <w:kern w:val="0"/>
          <w:sz w:val="32"/>
          <w:szCs w:val="32"/>
        </w:rPr>
        <w:t xml:space="preserve">  </w:t>
      </w:r>
      <w:r>
        <w:rPr>
          <w:rFonts w:hint="eastAsia" w:ascii="黑体" w:hAnsi="黑体" w:eastAsia="黑体" w:cs="黑体"/>
          <w:kern w:val="0"/>
          <w:sz w:val="32"/>
          <w:szCs w:val="32"/>
        </w:rPr>
        <w:t>一、主要职能</w:t>
      </w:r>
    </w:p>
    <w:p>
      <w:pPr>
        <w:widowControl/>
        <w:spacing w:line="560" w:lineRule="exact"/>
        <w:jc w:val="left"/>
        <w:rPr>
          <w:rFonts w:ascii="仿宋_GB2312" w:hAnsi="宋体" w:eastAsia="仿宋_GB2312"/>
          <w:kern w:val="0"/>
          <w:sz w:val="32"/>
          <w:szCs w:val="32"/>
        </w:rPr>
      </w:pPr>
      <w:r>
        <w:rPr>
          <w:rFonts w:ascii="黑体" w:hAnsi="黑体" w:eastAsia="黑体" w:cs="黑体"/>
          <w:kern w:val="0"/>
          <w:sz w:val="32"/>
          <w:szCs w:val="32"/>
        </w:rPr>
        <w:t xml:space="preserve">   </w:t>
      </w:r>
      <w:r>
        <w:rPr>
          <w:rFonts w:ascii="仿宋_GB2312" w:hAnsi="黑体" w:eastAsia="仿宋_GB2312" w:cs="仿宋_GB2312"/>
          <w:kern w:val="0"/>
          <w:sz w:val="32"/>
          <w:szCs w:val="32"/>
        </w:rPr>
        <w:t xml:space="preserve"> </w:t>
      </w:r>
      <w:r>
        <w:rPr>
          <w:rFonts w:hint="eastAsia" w:ascii="仿宋_GB2312" w:hAnsi="仿宋_GB2312" w:eastAsia="仿宋_GB2312" w:cs="仿宋_GB2312"/>
          <w:sz w:val="32"/>
          <w:szCs w:val="32"/>
        </w:rPr>
        <w:t>主要职能：</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民检察院是国家的法律监督机关依法行使下列职权来维护社会的公平正义；对于公安机关、国家安全机关等侦查机关侦查的案件进行审查；对于刑事案件提起公诉、支持公诉。对于人民法院的刑事判决、裁定是否正确和审判活动是否合法实行监督对于行政诉讼实行法律监督。对人民法院已经发生效力的判决、裁定发现违反法律、法规规定的，依法提出抗诉。</w:t>
      </w:r>
    </w:p>
    <w:p>
      <w:pPr>
        <w:widowControl/>
        <w:numPr>
          <w:ilvl w:val="0"/>
          <w:numId w:val="1"/>
        </w:numPr>
        <w:spacing w:line="560" w:lineRule="exact"/>
        <w:jc w:val="left"/>
        <w:rPr>
          <w:rFonts w:ascii="黑体" w:hAnsi="黑体" w:eastAsia="黑体"/>
          <w:kern w:val="0"/>
          <w:sz w:val="32"/>
          <w:szCs w:val="32"/>
        </w:rPr>
      </w:pPr>
      <w:r>
        <w:rPr>
          <w:rFonts w:hint="eastAsia" w:ascii="黑体" w:hAnsi="黑体" w:eastAsia="黑体" w:cs="黑体"/>
          <w:kern w:val="0"/>
          <w:sz w:val="32"/>
          <w:szCs w:val="32"/>
        </w:rPr>
        <w:t>机构设置及人员情况</w:t>
      </w:r>
      <w:r>
        <w:rPr>
          <w:rFonts w:hint="eastAsia" w:ascii="黑体" w:hAnsi="黑体" w:eastAsia="黑体" w:cs="黑体"/>
          <w:kern w:val="0"/>
          <w:sz w:val="32"/>
          <w:szCs w:val="32"/>
          <w:lang w:val="en-US" w:eastAsia="zh-CN"/>
        </w:rPr>
        <w:t>(涉密不公开)</w:t>
      </w: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bookmarkStart w:id="0" w:name="_GoBack"/>
      <w:bookmarkEnd w:id="0"/>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cs="黑体"/>
          <w:kern w:val="0"/>
          <w:sz w:val="32"/>
          <w:szCs w:val="32"/>
        </w:rPr>
        <w:t>第二部分</w:t>
      </w:r>
      <w:r>
        <w:rPr>
          <w:rFonts w:ascii="黑体" w:hAnsi="黑体" w:eastAsia="黑体" w:cs="黑体"/>
          <w:kern w:val="0"/>
          <w:sz w:val="32"/>
          <w:szCs w:val="32"/>
        </w:rPr>
        <w:t xml:space="preserve">  2020</w:t>
      </w:r>
      <w:r>
        <w:rPr>
          <w:rFonts w:hint="eastAsia" w:ascii="黑体" w:hAnsi="黑体" w:eastAsia="黑体" w:cs="黑体"/>
          <w:kern w:val="0"/>
          <w:sz w:val="32"/>
          <w:szCs w:val="32"/>
        </w:rPr>
        <w:t>年部门预算公开表</w:t>
      </w:r>
    </w:p>
    <w:p>
      <w:pPr>
        <w:widowControl/>
        <w:spacing w:beforeLines="5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表一：</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部门收支总体情况表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编制部门：</w:t>
      </w:r>
      <w:r>
        <w:rPr>
          <w:rFonts w:hint="eastAsia" w:ascii="仿宋_GB2312" w:hAnsi="仿宋_GB2312" w:eastAsia="仿宋_GB2312" w:cs="仿宋_GB2312"/>
        </w:rPr>
        <w:t>新疆维吾尔自治区人民检察院和田分院</w:t>
      </w:r>
      <w:r>
        <w:rPr>
          <w:rFonts w:ascii="仿宋_GB2312" w:hAnsi="仿宋_GB2312" w:eastAsia="仿宋_GB2312" w:cs="仿宋_GB2312"/>
          <w:kern w:val="0"/>
        </w:rPr>
        <w:t xml:space="preserve"> </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10"/>
        <w:tblW w:w="8634" w:type="dxa"/>
        <w:tblInd w:w="-106" w:type="dxa"/>
        <w:tblLayout w:type="fixed"/>
        <w:tblCellMar>
          <w:top w:w="0" w:type="dxa"/>
          <w:left w:w="108" w:type="dxa"/>
          <w:bottom w:w="0" w:type="dxa"/>
          <w:right w:w="108" w:type="dxa"/>
        </w:tblCellMar>
      </w:tblPr>
      <w:tblGrid>
        <w:gridCol w:w="2272"/>
        <w:gridCol w:w="1982"/>
        <w:gridCol w:w="2684"/>
        <w:gridCol w:w="1696"/>
      </w:tblGrid>
      <w:tr>
        <w:tblPrEx>
          <w:tblLayout w:type="fixed"/>
          <w:tblCellMar>
            <w:top w:w="0" w:type="dxa"/>
            <w:left w:w="108" w:type="dxa"/>
            <w:bottom w:w="0" w:type="dxa"/>
            <w:right w:w="108" w:type="dxa"/>
          </w:tblCellMar>
        </w:tblPrEx>
        <w:trPr>
          <w:trHeight w:val="353" w:hRule="atLeast"/>
        </w:trPr>
        <w:tc>
          <w:tcPr>
            <w:tcW w:w="4254"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收</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入</w:t>
            </w:r>
          </w:p>
        </w:tc>
        <w:tc>
          <w:tcPr>
            <w:tcW w:w="4380"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支</w:t>
            </w:r>
            <w:r>
              <w:rPr>
                <w:rFonts w:ascii="仿宋_GB2312" w:hAnsi="宋体" w:eastAsia="仿宋_GB2312" w:cs="仿宋_GB2312"/>
                <w:b/>
                <w:bCs/>
                <w:kern w:val="0"/>
                <w:sz w:val="24"/>
                <w:szCs w:val="24"/>
              </w:rPr>
              <w:t xml:space="preserve">     </w:t>
            </w:r>
            <w:r>
              <w:rPr>
                <w:rFonts w:hint="eastAsia" w:ascii="仿宋_GB2312" w:hAnsi="宋体" w:eastAsia="仿宋_GB2312" w:cs="仿宋_GB2312"/>
                <w:b/>
                <w:bCs/>
                <w:kern w:val="0"/>
                <w:sz w:val="24"/>
                <w:szCs w:val="24"/>
              </w:rPr>
              <w:t>出</w:t>
            </w: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项</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目</w:t>
            </w:r>
          </w:p>
        </w:tc>
        <w:tc>
          <w:tcPr>
            <w:tcW w:w="198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预算数</w:t>
            </w:r>
          </w:p>
        </w:tc>
        <w:tc>
          <w:tcPr>
            <w:tcW w:w="2684"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功能分类</w:t>
            </w:r>
          </w:p>
        </w:tc>
        <w:tc>
          <w:tcPr>
            <w:tcW w:w="169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预算数</w:t>
            </w: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财政拨款（补助）</w:t>
            </w:r>
          </w:p>
        </w:tc>
        <w:tc>
          <w:tcPr>
            <w:tcW w:w="19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ascii="仿宋_GB2312" w:hAnsi="宋体" w:eastAsia="仿宋_GB2312" w:cs="仿宋_GB2312"/>
                <w:kern w:val="0"/>
                <w:sz w:val="18"/>
                <w:szCs w:val="18"/>
              </w:rPr>
              <w:t>1852.37</w:t>
            </w: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201 </w:t>
            </w:r>
            <w:r>
              <w:rPr>
                <w:rFonts w:hint="eastAsia" w:ascii="仿宋_GB2312" w:hAnsi="宋体" w:eastAsia="仿宋_GB2312" w:cs="仿宋_GB2312"/>
                <w:kern w:val="0"/>
                <w:sz w:val="18"/>
                <w:szCs w:val="18"/>
              </w:rPr>
              <w:t>一般公共服务支出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    </w:t>
            </w:r>
            <w:r>
              <w:rPr>
                <w:rFonts w:hint="eastAsia" w:ascii="仿宋_GB2312" w:hAnsi="宋体" w:eastAsia="仿宋_GB2312" w:cs="仿宋_GB2312"/>
                <w:kern w:val="0"/>
                <w:sz w:val="18"/>
                <w:szCs w:val="18"/>
              </w:rPr>
              <w:t>一般公共预算</w:t>
            </w:r>
          </w:p>
        </w:tc>
        <w:tc>
          <w:tcPr>
            <w:tcW w:w="19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仿宋_GB2312"/>
                <w:kern w:val="0"/>
                <w:sz w:val="18"/>
                <w:szCs w:val="18"/>
              </w:rPr>
            </w:pPr>
            <w:r>
              <w:rPr>
                <w:rFonts w:ascii="仿宋_GB2312" w:hAnsi="宋体" w:eastAsia="仿宋_GB2312" w:cs="仿宋_GB2312"/>
                <w:kern w:val="0"/>
                <w:sz w:val="18"/>
                <w:szCs w:val="18"/>
              </w:rPr>
              <w:t>1852.37</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202 </w:t>
            </w:r>
            <w:r>
              <w:rPr>
                <w:rFonts w:hint="eastAsia" w:ascii="仿宋_GB2312" w:hAnsi="宋体" w:eastAsia="仿宋_GB2312" w:cs="仿宋_GB2312"/>
                <w:kern w:val="0"/>
                <w:sz w:val="18"/>
                <w:szCs w:val="18"/>
              </w:rPr>
              <w:t>外交支出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    </w:t>
            </w:r>
            <w:r>
              <w:rPr>
                <w:rFonts w:hint="eastAsia" w:ascii="仿宋_GB2312" w:hAnsi="宋体" w:eastAsia="仿宋_GB2312" w:cs="仿宋_GB2312"/>
                <w:kern w:val="0"/>
                <w:sz w:val="18"/>
                <w:szCs w:val="18"/>
              </w:rPr>
              <w:t>政府性基金预算</w:t>
            </w:r>
          </w:p>
        </w:tc>
        <w:tc>
          <w:tcPr>
            <w:tcW w:w="19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203 </w:t>
            </w:r>
            <w:r>
              <w:rPr>
                <w:rFonts w:hint="eastAsia" w:ascii="仿宋_GB2312" w:hAnsi="宋体" w:eastAsia="仿宋_GB2312" w:cs="仿宋_GB2312"/>
                <w:kern w:val="0"/>
                <w:sz w:val="18"/>
                <w:szCs w:val="18"/>
              </w:rPr>
              <w:t>国防支出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教育收费（财政专户）</w:t>
            </w:r>
          </w:p>
        </w:tc>
        <w:tc>
          <w:tcPr>
            <w:tcW w:w="19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204 </w:t>
            </w:r>
            <w:r>
              <w:rPr>
                <w:rFonts w:hint="eastAsia" w:ascii="仿宋_GB2312" w:hAnsi="宋体" w:eastAsia="仿宋_GB2312" w:cs="仿宋_GB2312"/>
                <w:kern w:val="0"/>
                <w:sz w:val="18"/>
                <w:szCs w:val="18"/>
              </w:rPr>
              <w:t>公共安全支出</w:t>
            </w:r>
          </w:p>
        </w:tc>
        <w:tc>
          <w:tcPr>
            <w:tcW w:w="1696"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仿宋_GB2312"/>
                <w:kern w:val="0"/>
                <w:sz w:val="18"/>
                <w:szCs w:val="18"/>
              </w:rPr>
            </w:pPr>
            <w:r>
              <w:rPr>
                <w:rFonts w:ascii="仿宋_GB2312" w:hAnsi="宋体" w:eastAsia="仿宋_GB2312" w:cs="仿宋_GB2312"/>
                <w:kern w:val="0"/>
                <w:sz w:val="18"/>
                <w:szCs w:val="18"/>
              </w:rPr>
              <w:t>1641.75</w:t>
            </w: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事业收入</w:t>
            </w:r>
          </w:p>
        </w:tc>
        <w:tc>
          <w:tcPr>
            <w:tcW w:w="19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205 </w:t>
            </w:r>
            <w:r>
              <w:rPr>
                <w:rFonts w:hint="eastAsia" w:ascii="仿宋_GB2312" w:hAnsi="宋体" w:eastAsia="仿宋_GB2312" w:cs="仿宋_GB2312"/>
                <w:kern w:val="0"/>
                <w:sz w:val="18"/>
                <w:szCs w:val="18"/>
              </w:rPr>
              <w:t>教育支出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事业单位经营收入</w:t>
            </w:r>
          </w:p>
        </w:tc>
        <w:tc>
          <w:tcPr>
            <w:tcW w:w="19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206 </w:t>
            </w:r>
            <w:r>
              <w:rPr>
                <w:rFonts w:hint="eastAsia" w:ascii="仿宋_GB2312" w:hAnsi="宋体" w:eastAsia="仿宋_GB2312" w:cs="仿宋_GB2312"/>
                <w:kern w:val="0"/>
                <w:sz w:val="18"/>
                <w:szCs w:val="18"/>
              </w:rPr>
              <w:t>科学技术支出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其他收入</w:t>
            </w:r>
          </w:p>
        </w:tc>
        <w:tc>
          <w:tcPr>
            <w:tcW w:w="19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207 </w:t>
            </w:r>
            <w:r>
              <w:rPr>
                <w:rFonts w:hint="eastAsia" w:ascii="仿宋_GB2312" w:hAnsi="宋体" w:eastAsia="仿宋_GB2312" w:cs="仿宋_GB2312"/>
                <w:kern w:val="0"/>
                <w:sz w:val="18"/>
                <w:szCs w:val="18"/>
              </w:rPr>
              <w:t>文化旅游体育与传媒支出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用事业基金弥补收支差额</w:t>
            </w:r>
          </w:p>
        </w:tc>
        <w:tc>
          <w:tcPr>
            <w:tcW w:w="198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208 </w:t>
            </w:r>
            <w:r>
              <w:rPr>
                <w:rFonts w:hint="eastAsia" w:ascii="仿宋_GB2312" w:hAnsi="宋体" w:eastAsia="仿宋_GB2312" w:cs="仿宋_GB2312"/>
                <w:kern w:val="0"/>
                <w:sz w:val="18"/>
                <w:szCs w:val="18"/>
              </w:rPr>
              <w:t>社会保障和就业支出</w:t>
            </w:r>
          </w:p>
        </w:tc>
        <w:tc>
          <w:tcPr>
            <w:tcW w:w="1696"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仿宋_GB2312"/>
                <w:kern w:val="0"/>
                <w:sz w:val="18"/>
                <w:szCs w:val="18"/>
              </w:rPr>
            </w:pPr>
            <w:r>
              <w:rPr>
                <w:rFonts w:ascii="仿宋_GB2312" w:hAnsi="宋体" w:eastAsia="仿宋_GB2312" w:cs="仿宋_GB2312"/>
                <w:kern w:val="0"/>
                <w:sz w:val="18"/>
                <w:szCs w:val="18"/>
              </w:rPr>
              <w:t>210.62</w:t>
            </w: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210</w:t>
            </w:r>
            <w:r>
              <w:rPr>
                <w:rFonts w:hint="eastAsia" w:ascii="仿宋_GB2312" w:hAnsi="宋体" w:eastAsia="仿宋_GB2312" w:cs="仿宋_GB2312"/>
                <w:kern w:val="0"/>
                <w:sz w:val="18"/>
                <w:szCs w:val="18"/>
              </w:rPr>
              <w:t>卫生健康支出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211 </w:t>
            </w:r>
            <w:r>
              <w:rPr>
                <w:rFonts w:hint="eastAsia" w:ascii="仿宋_GB2312" w:hAnsi="宋体" w:eastAsia="仿宋_GB2312" w:cs="仿宋_GB2312"/>
                <w:kern w:val="0"/>
                <w:sz w:val="18"/>
                <w:szCs w:val="18"/>
              </w:rPr>
              <w:t>节能环保支出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212 </w:t>
            </w:r>
            <w:r>
              <w:rPr>
                <w:rFonts w:hint="eastAsia" w:ascii="仿宋_GB2312" w:hAnsi="宋体" w:eastAsia="仿宋_GB2312" w:cs="仿宋_GB2312"/>
                <w:kern w:val="0"/>
                <w:sz w:val="18"/>
                <w:szCs w:val="18"/>
              </w:rPr>
              <w:t>城乡社区支出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213 </w:t>
            </w:r>
            <w:r>
              <w:rPr>
                <w:rFonts w:hint="eastAsia" w:ascii="仿宋_GB2312" w:hAnsi="宋体" w:eastAsia="仿宋_GB2312" w:cs="仿宋_GB2312"/>
                <w:kern w:val="0"/>
                <w:sz w:val="18"/>
                <w:szCs w:val="18"/>
              </w:rPr>
              <w:t>农林水支出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214 </w:t>
            </w:r>
            <w:r>
              <w:rPr>
                <w:rFonts w:hint="eastAsia" w:ascii="仿宋_GB2312" w:hAnsi="宋体" w:eastAsia="仿宋_GB2312" w:cs="仿宋_GB2312"/>
                <w:kern w:val="0"/>
                <w:sz w:val="18"/>
                <w:szCs w:val="18"/>
              </w:rPr>
              <w:t>交通运输支出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215 </w:t>
            </w:r>
            <w:r>
              <w:rPr>
                <w:rFonts w:hint="eastAsia" w:ascii="仿宋_GB2312" w:hAnsi="宋体" w:eastAsia="仿宋_GB2312" w:cs="仿宋_GB2312"/>
                <w:kern w:val="0"/>
                <w:sz w:val="18"/>
                <w:szCs w:val="18"/>
              </w:rPr>
              <w:t>资源勘探工业信息等支出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216 </w:t>
            </w:r>
            <w:r>
              <w:rPr>
                <w:rFonts w:hint="eastAsia" w:ascii="仿宋_GB2312" w:hAnsi="宋体" w:eastAsia="仿宋_GB2312" w:cs="仿宋_GB2312"/>
                <w:kern w:val="0"/>
                <w:sz w:val="18"/>
                <w:szCs w:val="18"/>
              </w:rPr>
              <w:t>商业服务业等支出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217 </w:t>
            </w:r>
            <w:r>
              <w:rPr>
                <w:rFonts w:hint="eastAsia" w:ascii="仿宋_GB2312" w:hAnsi="宋体" w:eastAsia="仿宋_GB2312" w:cs="仿宋_GB2312"/>
                <w:kern w:val="0"/>
                <w:sz w:val="18"/>
                <w:szCs w:val="18"/>
              </w:rPr>
              <w:t>金融支出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219 </w:t>
            </w:r>
            <w:r>
              <w:rPr>
                <w:rFonts w:hint="eastAsia" w:ascii="仿宋_GB2312" w:hAnsi="宋体" w:eastAsia="仿宋_GB2312" w:cs="仿宋_GB2312"/>
                <w:kern w:val="0"/>
                <w:sz w:val="18"/>
                <w:szCs w:val="18"/>
              </w:rPr>
              <w:t>援助其他地区支出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220 </w:t>
            </w:r>
            <w:r>
              <w:rPr>
                <w:rFonts w:hint="eastAsia" w:ascii="仿宋_GB2312" w:hAnsi="宋体" w:eastAsia="仿宋_GB2312" w:cs="仿宋_GB2312"/>
                <w:kern w:val="0"/>
                <w:sz w:val="18"/>
                <w:szCs w:val="18"/>
              </w:rPr>
              <w:t>自然资源海洋气象等支出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221 </w:t>
            </w:r>
            <w:r>
              <w:rPr>
                <w:rFonts w:hint="eastAsia" w:ascii="仿宋_GB2312" w:hAnsi="宋体" w:eastAsia="仿宋_GB2312" w:cs="仿宋_GB2312"/>
                <w:kern w:val="0"/>
                <w:sz w:val="18"/>
                <w:szCs w:val="18"/>
              </w:rPr>
              <w:t>住房保障支出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222 </w:t>
            </w:r>
            <w:r>
              <w:rPr>
                <w:rFonts w:hint="eastAsia" w:ascii="仿宋_GB2312" w:hAnsi="宋体" w:eastAsia="仿宋_GB2312" w:cs="仿宋_GB2312"/>
                <w:kern w:val="0"/>
                <w:sz w:val="18"/>
                <w:szCs w:val="18"/>
              </w:rPr>
              <w:t>粮油物资储备支出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224</w:t>
            </w:r>
            <w:r>
              <w:rPr>
                <w:rFonts w:hint="eastAsia" w:ascii="仿宋_GB2312" w:hAnsi="宋体" w:eastAsia="仿宋_GB2312" w:cs="仿宋_GB2312"/>
                <w:kern w:val="0"/>
                <w:sz w:val="18"/>
                <w:szCs w:val="18"/>
              </w:rPr>
              <w:t>灾害防治及应急管理支出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544"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227 </w:t>
            </w:r>
            <w:r>
              <w:rPr>
                <w:rFonts w:hint="eastAsia" w:ascii="仿宋_GB2312" w:hAnsi="宋体" w:eastAsia="仿宋_GB2312" w:cs="仿宋_GB2312"/>
                <w:kern w:val="0"/>
                <w:sz w:val="18"/>
                <w:szCs w:val="18"/>
              </w:rPr>
              <w:t>预备费</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229 </w:t>
            </w:r>
            <w:r>
              <w:rPr>
                <w:rFonts w:hint="eastAsia" w:ascii="仿宋_GB2312" w:hAnsi="宋体" w:eastAsia="仿宋_GB2312" w:cs="仿宋_GB2312"/>
                <w:kern w:val="0"/>
                <w:sz w:val="18"/>
                <w:szCs w:val="18"/>
              </w:rPr>
              <w:t>其他支出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5"/>
                <w:szCs w:val="15"/>
              </w:rPr>
            </w:pPr>
            <w:r>
              <w:rPr>
                <w:rFonts w:ascii="仿宋_GB2312" w:hAnsi="宋体" w:eastAsia="仿宋_GB2312" w:cs="仿宋_GB2312"/>
                <w:kern w:val="0"/>
                <w:sz w:val="18"/>
                <w:szCs w:val="18"/>
              </w:rPr>
              <w:t>230</w:t>
            </w:r>
            <w:r>
              <w:rPr>
                <w:rFonts w:hint="eastAsia" w:ascii="仿宋_GB2312" w:hAnsi="宋体" w:eastAsia="仿宋_GB2312" w:cs="仿宋_GB2312"/>
                <w:kern w:val="0"/>
                <w:sz w:val="18"/>
                <w:szCs w:val="18"/>
              </w:rPr>
              <w:t>转移性支出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231 </w:t>
            </w:r>
            <w:r>
              <w:rPr>
                <w:rFonts w:hint="eastAsia" w:ascii="仿宋_GB2312" w:hAnsi="宋体" w:eastAsia="仿宋_GB2312" w:cs="仿宋_GB2312"/>
                <w:kern w:val="0"/>
                <w:sz w:val="18"/>
                <w:szCs w:val="18"/>
              </w:rPr>
              <w:t>债务还本支出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232 </w:t>
            </w:r>
            <w:r>
              <w:rPr>
                <w:rFonts w:hint="eastAsia" w:ascii="仿宋_GB2312" w:hAnsi="宋体" w:eastAsia="仿宋_GB2312" w:cs="仿宋_GB2312"/>
                <w:kern w:val="0"/>
                <w:sz w:val="18"/>
                <w:szCs w:val="18"/>
              </w:rPr>
              <w:t>债务付息支出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982"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233 </w:t>
            </w:r>
            <w:r>
              <w:rPr>
                <w:rFonts w:hint="eastAsia" w:ascii="仿宋_GB2312" w:hAnsi="宋体" w:eastAsia="仿宋_GB2312" w:cs="仿宋_GB2312"/>
                <w:kern w:val="0"/>
                <w:sz w:val="18"/>
                <w:szCs w:val="18"/>
              </w:rPr>
              <w:t>债务发行费用支出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06" w:hRule="exact"/>
        </w:trPr>
        <w:tc>
          <w:tcPr>
            <w:tcW w:w="2272"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982"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仿宋_GB2312"/>
                <w:kern w:val="0"/>
                <w:sz w:val="18"/>
                <w:szCs w:val="18"/>
              </w:rPr>
            </w:pPr>
            <w:r>
              <w:rPr>
                <w:rFonts w:hint="eastAsia" w:ascii="仿宋_GB2312" w:hAnsi="宋体" w:eastAsia="仿宋_GB2312" w:cs="仿宋_GB2312"/>
                <w:kern w:val="0"/>
                <w:sz w:val="18"/>
                <w:szCs w:val="18"/>
              </w:rPr>
              <w:t>　</w:t>
            </w:r>
            <w:r>
              <w:rPr>
                <w:rFonts w:ascii="仿宋_GB2312" w:hAnsi="宋体" w:eastAsia="仿宋_GB2312" w:cs="仿宋_GB2312"/>
                <w:kern w:val="0"/>
                <w:sz w:val="18"/>
                <w:szCs w:val="18"/>
              </w:rPr>
              <w:t>1852.37</w:t>
            </w:r>
          </w:p>
        </w:tc>
        <w:tc>
          <w:tcPr>
            <w:tcW w:w="2684"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69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仿宋_GB2312"/>
                <w:kern w:val="0"/>
                <w:sz w:val="18"/>
                <w:szCs w:val="18"/>
              </w:rPr>
            </w:pPr>
            <w:r>
              <w:rPr>
                <w:rFonts w:hint="eastAsia" w:ascii="仿宋_GB2312" w:hAnsi="宋体" w:eastAsia="仿宋_GB2312" w:cs="仿宋_GB2312"/>
                <w:kern w:val="0"/>
                <w:sz w:val="18"/>
                <w:szCs w:val="18"/>
              </w:rPr>
              <w:t>　</w:t>
            </w:r>
            <w:r>
              <w:rPr>
                <w:rFonts w:ascii="仿宋_GB2312" w:hAnsi="宋体" w:eastAsia="仿宋_GB2312" w:cs="仿宋_GB2312"/>
                <w:kern w:val="0"/>
                <w:sz w:val="18"/>
                <w:szCs w:val="18"/>
              </w:rPr>
              <w:t>1852.37</w:t>
            </w:r>
          </w:p>
        </w:tc>
      </w:tr>
      <w:tr>
        <w:tblPrEx>
          <w:tblLayout w:type="fixed"/>
          <w:tblCellMar>
            <w:top w:w="0" w:type="dxa"/>
            <w:left w:w="108" w:type="dxa"/>
            <w:bottom w:w="0" w:type="dxa"/>
            <w:right w:w="108" w:type="dxa"/>
          </w:tblCellMar>
        </w:tblPrEx>
        <w:trPr>
          <w:trHeight w:val="353" w:hRule="atLeast"/>
        </w:trPr>
        <w:tc>
          <w:tcPr>
            <w:tcW w:w="2272"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kern w:val="0"/>
                <w:sz w:val="20"/>
                <w:szCs w:val="20"/>
              </w:rPr>
            </w:pPr>
            <w:r>
              <w:rPr>
                <w:rFonts w:hint="eastAsia" w:ascii="仿宋_GB2312" w:hAnsi="宋体" w:eastAsia="仿宋_GB2312" w:cs="仿宋_GB2312"/>
                <w:kern w:val="0"/>
                <w:sz w:val="18"/>
                <w:szCs w:val="18"/>
              </w:rPr>
              <w:t>单位上年结余（不包括国库集中支付额度结余）</w:t>
            </w:r>
          </w:p>
        </w:tc>
        <w:tc>
          <w:tcPr>
            <w:tcW w:w="1982"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kern w:val="0"/>
                <w:sz w:val="20"/>
                <w:szCs w:val="20"/>
              </w:rPr>
            </w:pPr>
            <w:r>
              <w:rPr>
                <w:rFonts w:ascii="仿宋_GB2312" w:hAnsi="宋体" w:eastAsia="仿宋_GB2312" w:cs="仿宋_GB2312"/>
                <w:kern w:val="0"/>
                <w:sz w:val="20"/>
                <w:szCs w:val="20"/>
              </w:rPr>
              <w:t>230</w:t>
            </w:r>
            <w:r>
              <w:rPr>
                <w:rFonts w:hint="eastAsia" w:ascii="仿宋_GB2312" w:hAnsi="宋体" w:eastAsia="仿宋_GB2312" w:cs="仿宋_GB2312"/>
                <w:kern w:val="0"/>
                <w:sz w:val="20"/>
                <w:szCs w:val="20"/>
              </w:rPr>
              <w:t>转移性支出</w:t>
            </w:r>
          </w:p>
        </w:tc>
        <w:tc>
          <w:tcPr>
            <w:tcW w:w="1696"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p>
        </w:tc>
      </w:tr>
      <w:tr>
        <w:tblPrEx>
          <w:tblLayout w:type="fixed"/>
          <w:tblCellMar>
            <w:top w:w="0" w:type="dxa"/>
            <w:left w:w="108" w:type="dxa"/>
            <w:bottom w:w="0" w:type="dxa"/>
            <w:right w:w="108" w:type="dxa"/>
          </w:tblCellMar>
        </w:tblPrEx>
        <w:trPr>
          <w:trHeight w:val="358" w:hRule="atLeast"/>
        </w:trPr>
        <w:tc>
          <w:tcPr>
            <w:tcW w:w="2272"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kern w:val="0"/>
                <w:sz w:val="18"/>
                <w:szCs w:val="18"/>
              </w:rPr>
            </w:pPr>
            <w:r>
              <w:rPr>
                <w:rFonts w:hint="eastAsia" w:ascii="仿宋_GB2312" w:hAnsi="宋体" w:eastAsia="仿宋_GB2312" w:cs="仿宋_GB2312"/>
                <w:kern w:val="0"/>
                <w:sz w:val="20"/>
                <w:szCs w:val="20"/>
              </w:rPr>
              <w:t>收</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入</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982"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ascii="仿宋_GB2312" w:hAnsi="宋体" w:eastAsia="仿宋_GB2312" w:cs="仿宋_GB2312"/>
                <w:kern w:val="0"/>
                <w:sz w:val="18"/>
                <w:szCs w:val="18"/>
              </w:rPr>
              <w:t>1852.37</w:t>
            </w:r>
            <w:r>
              <w:rPr>
                <w:rFonts w:hint="eastAsia" w:ascii="仿宋_GB2312" w:hAnsi="宋体" w:eastAsia="仿宋_GB2312" w:cs="仿宋_GB2312"/>
                <w:kern w:val="0"/>
                <w:sz w:val="18"/>
                <w:szCs w:val="18"/>
              </w:rPr>
              <w:t>　</w:t>
            </w:r>
          </w:p>
        </w:tc>
        <w:tc>
          <w:tcPr>
            <w:tcW w:w="2684"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kern w:val="0"/>
                <w:sz w:val="20"/>
                <w:szCs w:val="20"/>
              </w:rPr>
            </w:pPr>
            <w:r>
              <w:rPr>
                <w:rFonts w:hint="eastAsia" w:ascii="仿宋_GB2312" w:hAnsi="宋体" w:eastAsia="仿宋_GB2312" w:cs="仿宋_GB2312"/>
                <w:kern w:val="0"/>
                <w:sz w:val="20"/>
                <w:szCs w:val="20"/>
              </w:rPr>
              <w:t>支</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出</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合</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696"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kern w:val="0"/>
                <w:sz w:val="18"/>
                <w:szCs w:val="18"/>
              </w:rPr>
            </w:pPr>
            <w:r>
              <w:rPr>
                <w:rFonts w:ascii="仿宋_GB2312" w:hAnsi="宋体" w:eastAsia="仿宋_GB2312" w:cs="仿宋_GB2312"/>
                <w:kern w:val="0"/>
                <w:sz w:val="18"/>
                <w:szCs w:val="18"/>
              </w:rPr>
              <w:t>1852.37</w:t>
            </w:r>
            <w:r>
              <w:rPr>
                <w:rFonts w:hint="eastAsia" w:ascii="仿宋_GB2312" w:hAnsi="宋体" w:eastAsia="仿宋_GB2312" w:cs="仿宋_GB2312"/>
                <w:kern w:val="0"/>
                <w:sz w:val="18"/>
                <w:szCs w:val="18"/>
              </w:rPr>
              <w:t>　</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表二：</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部门收入总体情况表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填报部门：</w:t>
      </w:r>
      <w:r>
        <w:rPr>
          <w:rFonts w:hint="eastAsia" w:ascii="宋体" w:hAnsi="宋体" w:cs="宋体"/>
        </w:rPr>
        <w:t>新疆维吾尔自治区人民检察院和田分院</w:t>
      </w:r>
      <w:r>
        <w:rPr>
          <w:rFonts w:ascii="仿宋_GB2312" w:hAnsi="宋体" w:eastAsia="仿宋_GB2312" w:cs="仿宋_GB2312"/>
          <w:kern w:val="0"/>
          <w:sz w:val="28"/>
          <w:szCs w:val="28"/>
        </w:rPr>
        <w:t xml:space="preserve">  </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10"/>
        <w:tblW w:w="9654" w:type="dxa"/>
        <w:tblInd w:w="-106" w:type="dxa"/>
        <w:tblLayout w:type="fixed"/>
        <w:tblCellMar>
          <w:top w:w="0" w:type="dxa"/>
          <w:left w:w="108" w:type="dxa"/>
          <w:bottom w:w="0" w:type="dxa"/>
          <w:right w:w="108" w:type="dxa"/>
        </w:tblCellMar>
      </w:tblPr>
      <w:tblGrid>
        <w:gridCol w:w="611"/>
        <w:gridCol w:w="465"/>
        <w:gridCol w:w="555"/>
        <w:gridCol w:w="1621"/>
        <w:gridCol w:w="1408"/>
        <w:gridCol w:w="860"/>
        <w:gridCol w:w="425"/>
        <w:gridCol w:w="567"/>
        <w:gridCol w:w="424"/>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6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功能分类科目编码</w:t>
            </w:r>
          </w:p>
        </w:tc>
        <w:tc>
          <w:tcPr>
            <w:tcW w:w="16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功能分类科目名称</w:t>
            </w:r>
          </w:p>
        </w:tc>
        <w:tc>
          <w:tcPr>
            <w:tcW w:w="14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总</w:t>
            </w:r>
            <w:r>
              <w:rPr>
                <w:rFonts w:ascii="仿宋_GB2312" w:eastAsia="仿宋_GB2312" w:cs="仿宋_GB2312"/>
                <w:b/>
                <w:bCs/>
                <w:color w:val="000000"/>
                <w:sz w:val="20"/>
                <w:szCs w:val="20"/>
              </w:rPr>
              <w:t xml:space="preserve">  </w:t>
            </w:r>
            <w:r>
              <w:rPr>
                <w:rFonts w:hint="eastAsia" w:ascii="仿宋_GB2312" w:eastAsia="仿宋_GB2312" w:cs="仿宋_GB2312"/>
                <w:b/>
                <w:bCs/>
                <w:color w:val="000000"/>
                <w:sz w:val="20"/>
                <w:szCs w:val="20"/>
              </w:rPr>
              <w:t>计</w:t>
            </w:r>
          </w:p>
        </w:tc>
        <w:tc>
          <w:tcPr>
            <w:tcW w:w="8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一般公共预算拨款</w:t>
            </w:r>
          </w:p>
        </w:tc>
        <w:tc>
          <w:tcPr>
            <w:tcW w:w="42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财政专户管理资金</w:t>
            </w:r>
          </w:p>
        </w:tc>
        <w:tc>
          <w:tcPr>
            <w:tcW w:w="42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20"/>
                <w:szCs w:val="20"/>
              </w:rPr>
            </w:pPr>
            <w:r>
              <w:rPr>
                <w:rFonts w:hint="eastAsia" w:ascii="仿宋_GB2312" w:eastAsia="仿宋_GB2312" w:cs="仿宋_GB2312"/>
                <w:b/>
                <w:bCs/>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b/>
                <w:bCs/>
                <w:color w:val="000000"/>
                <w:sz w:val="18"/>
                <w:szCs w:val="18"/>
              </w:rPr>
            </w:pPr>
            <w:r>
              <w:rPr>
                <w:rFonts w:hint="eastAsia" w:ascii="仿宋_GB2312" w:eastAsia="仿宋_GB2312" w:cs="仿宋_GB2312"/>
                <w:b/>
                <w:bCs/>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61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类</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款</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b/>
                <w:bCs/>
                <w:color w:val="000000"/>
                <w:sz w:val="20"/>
                <w:szCs w:val="20"/>
              </w:rPr>
            </w:pPr>
            <w:r>
              <w:rPr>
                <w:rFonts w:hint="eastAsia" w:ascii="仿宋_GB2312" w:eastAsia="仿宋_GB2312" w:cs="仿宋_GB2312"/>
                <w:b/>
                <w:bCs/>
                <w:color w:val="000000"/>
                <w:sz w:val="20"/>
                <w:szCs w:val="20"/>
              </w:rPr>
              <w:t>项</w:t>
            </w:r>
          </w:p>
        </w:tc>
        <w:tc>
          <w:tcPr>
            <w:tcW w:w="16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14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8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42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olor w:val="000000"/>
                <w:sz w:val="20"/>
                <w:szCs w:val="20"/>
              </w:rPr>
            </w:pP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合计</w:t>
            </w:r>
          </w:p>
        </w:tc>
        <w:tc>
          <w:tcPr>
            <w:tcW w:w="1408" w:type="dxa"/>
            <w:tcBorders>
              <w:top w:val="nil"/>
              <w:left w:val="nil"/>
              <w:bottom w:val="single" w:color="auto" w:sz="4" w:space="0"/>
              <w:right w:val="single" w:color="auto" w:sz="4" w:space="0"/>
            </w:tcBorders>
            <w:shd w:val="clear" w:color="000000" w:fill="FFFFFF"/>
            <w:vAlign w:val="center"/>
          </w:tcPr>
          <w:p>
            <w:pPr>
              <w:jc w:val="right"/>
              <w:rPr>
                <w:rFonts w:ascii="宋体"/>
                <w:sz w:val="18"/>
                <w:szCs w:val="18"/>
              </w:rPr>
            </w:pPr>
            <w:r>
              <w:rPr>
                <w:rFonts w:ascii="宋体" w:hAnsi="宋体" w:cs="宋体"/>
                <w:sz w:val="18"/>
                <w:szCs w:val="18"/>
              </w:rPr>
              <w:t>1852.36</w:t>
            </w:r>
          </w:p>
        </w:tc>
        <w:tc>
          <w:tcPr>
            <w:tcW w:w="860" w:type="dxa"/>
            <w:tcBorders>
              <w:top w:val="nil"/>
              <w:left w:val="nil"/>
              <w:bottom w:val="single" w:color="auto" w:sz="4" w:space="0"/>
              <w:right w:val="single" w:color="auto" w:sz="4" w:space="0"/>
            </w:tcBorders>
            <w:shd w:val="clear" w:color="000000" w:fill="FFFFFF"/>
            <w:vAlign w:val="center"/>
          </w:tcPr>
          <w:p>
            <w:pPr>
              <w:jc w:val="right"/>
              <w:rPr>
                <w:rFonts w:ascii="宋体"/>
                <w:sz w:val="18"/>
                <w:szCs w:val="18"/>
              </w:rPr>
            </w:pPr>
            <w:r>
              <w:rPr>
                <w:rFonts w:ascii="宋体" w:hAnsi="宋体" w:cs="宋体"/>
                <w:sz w:val="18"/>
                <w:szCs w:val="18"/>
              </w:rPr>
              <w:t>1852.36</w:t>
            </w:r>
          </w:p>
        </w:tc>
        <w:tc>
          <w:tcPr>
            <w:tcW w:w="42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公共安全支出</w:t>
            </w:r>
          </w:p>
        </w:tc>
        <w:tc>
          <w:tcPr>
            <w:tcW w:w="1408"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1641.75</w:t>
            </w:r>
          </w:p>
        </w:tc>
        <w:tc>
          <w:tcPr>
            <w:tcW w:w="860"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1641.75</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32"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检察</w:t>
            </w:r>
          </w:p>
        </w:tc>
        <w:tc>
          <w:tcPr>
            <w:tcW w:w="1408"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1641.75</w:t>
            </w:r>
          </w:p>
        </w:tc>
        <w:tc>
          <w:tcPr>
            <w:tcW w:w="860"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1641.75</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771"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01</w:t>
            </w: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行政运行（检察）</w:t>
            </w:r>
          </w:p>
        </w:tc>
        <w:tc>
          <w:tcPr>
            <w:tcW w:w="1408"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1480.75</w:t>
            </w:r>
          </w:p>
        </w:tc>
        <w:tc>
          <w:tcPr>
            <w:tcW w:w="860"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1480.75</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99</w:t>
            </w: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其他检察支出</w:t>
            </w:r>
          </w:p>
        </w:tc>
        <w:tc>
          <w:tcPr>
            <w:tcW w:w="1408"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161</w:t>
            </w:r>
          </w:p>
        </w:tc>
        <w:tc>
          <w:tcPr>
            <w:tcW w:w="860"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161</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社会保障和就业支出</w:t>
            </w:r>
          </w:p>
        </w:tc>
        <w:tc>
          <w:tcPr>
            <w:tcW w:w="1408"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210.62</w:t>
            </w:r>
          </w:p>
        </w:tc>
        <w:tc>
          <w:tcPr>
            <w:tcW w:w="860"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210.62</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行政事业单位养老支出</w:t>
            </w:r>
          </w:p>
        </w:tc>
        <w:tc>
          <w:tcPr>
            <w:tcW w:w="1408"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210.62</w:t>
            </w:r>
          </w:p>
        </w:tc>
        <w:tc>
          <w:tcPr>
            <w:tcW w:w="860"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210.62</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机关事业单位基本养老保险缴费支出</w:t>
            </w:r>
          </w:p>
        </w:tc>
        <w:tc>
          <w:tcPr>
            <w:tcW w:w="1408"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140.41</w:t>
            </w:r>
          </w:p>
        </w:tc>
        <w:tc>
          <w:tcPr>
            <w:tcW w:w="860"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140.41</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46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55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06</w:t>
            </w:r>
          </w:p>
        </w:tc>
        <w:tc>
          <w:tcPr>
            <w:tcW w:w="1621"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机关事业单位职业年金缴费支出</w:t>
            </w:r>
          </w:p>
        </w:tc>
        <w:tc>
          <w:tcPr>
            <w:tcW w:w="1408"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70.21</w:t>
            </w:r>
          </w:p>
        </w:tc>
        <w:tc>
          <w:tcPr>
            <w:tcW w:w="860" w:type="dxa"/>
            <w:tcBorders>
              <w:top w:val="nil"/>
              <w:left w:val="nil"/>
              <w:bottom w:val="single" w:color="auto" w:sz="4" w:space="0"/>
              <w:right w:val="single" w:color="auto" w:sz="4" w:space="0"/>
            </w:tcBorders>
            <w:vAlign w:val="center"/>
          </w:tcPr>
          <w:p>
            <w:pPr>
              <w:jc w:val="right"/>
              <w:rPr>
                <w:rFonts w:ascii="宋体"/>
                <w:sz w:val="18"/>
                <w:szCs w:val="18"/>
              </w:rPr>
            </w:pPr>
            <w:r>
              <w:rPr>
                <w:rFonts w:ascii="宋体" w:hAnsi="宋体" w:cs="宋体"/>
                <w:sz w:val="18"/>
                <w:szCs w:val="18"/>
              </w:rPr>
              <w:t>70.21</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621" w:type="dxa"/>
            <w:tcBorders>
              <w:top w:val="nil"/>
              <w:left w:val="nil"/>
              <w:bottom w:val="single" w:color="auto" w:sz="4" w:space="0"/>
              <w:right w:val="single" w:color="auto" w:sz="4" w:space="0"/>
            </w:tcBorders>
            <w:vAlign w:val="center"/>
          </w:tcPr>
          <w:p>
            <w:pPr>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40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6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61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1621"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 w:val="20"/>
                <w:szCs w:val="20"/>
              </w:rPr>
            </w:pPr>
          </w:p>
        </w:tc>
        <w:tc>
          <w:tcPr>
            <w:tcW w:w="140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86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424"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olor w:val="000000"/>
                <w:sz w:val="20"/>
                <w:szCs w:val="20"/>
              </w:rPr>
            </w:pPr>
            <w:r>
              <w:rPr>
                <w:rFonts w:hint="eastAsia" w:ascii="仿宋_GB2312" w:eastAsia="仿宋_GB2312" w:cs="仿宋_GB2312"/>
                <w:color w:val="000000"/>
                <w:sz w:val="20"/>
                <w:szCs w:val="20"/>
              </w:rPr>
              <w:t>　</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表三：</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部门支出总体情况表</w:t>
      </w: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编制部门：</w:t>
      </w:r>
      <w:r>
        <w:rPr>
          <w:rFonts w:hint="eastAsia" w:ascii="宋体" w:hAnsi="宋体" w:cs="宋体"/>
        </w:rPr>
        <w:t>新疆维吾尔自治区人民检察院和田分院</w:t>
      </w:r>
      <w:r>
        <w:rPr>
          <w:rFonts w:ascii="仿宋_GB2312" w:hAnsi="宋体" w:eastAsia="仿宋_GB2312" w:cs="仿宋_GB2312"/>
          <w:kern w:val="0"/>
          <w:sz w:val="28"/>
          <w:szCs w:val="28"/>
        </w:rPr>
        <w:t xml:space="preserve"> </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10"/>
        <w:tblW w:w="9420" w:type="dxa"/>
        <w:tblInd w:w="-106" w:type="dxa"/>
        <w:tblLayout w:type="fixed"/>
        <w:tblCellMar>
          <w:top w:w="0" w:type="dxa"/>
          <w:left w:w="108" w:type="dxa"/>
          <w:bottom w:w="0" w:type="dxa"/>
          <w:right w:w="108" w:type="dxa"/>
        </w:tblCellMar>
      </w:tblPr>
      <w:tblGrid>
        <w:gridCol w:w="566"/>
        <w:gridCol w:w="510"/>
        <w:gridCol w:w="585"/>
        <w:gridCol w:w="214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66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功能分类科目编码</w:t>
            </w:r>
          </w:p>
        </w:tc>
        <w:tc>
          <w:tcPr>
            <w:tcW w:w="21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类</w:t>
            </w: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款</w:t>
            </w: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项</w:t>
            </w:r>
          </w:p>
        </w:tc>
        <w:tc>
          <w:tcPr>
            <w:tcW w:w="21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合计</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1852.37</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1691.37</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公共安全支出</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1641.75</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1480.75</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检察</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1641.75</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1480.75</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01</w:t>
            </w: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行政运行（检察）</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1480.75</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1480.75</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99</w:t>
            </w: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其他检察支出</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社会保障和就业支出</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行政事业单位养老支出</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140.41</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140.41</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585"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06</w:t>
            </w:r>
          </w:p>
        </w:tc>
        <w:tc>
          <w:tcPr>
            <w:tcW w:w="2144"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机关事业单位职业年金缴费支出</w:t>
            </w:r>
          </w:p>
        </w:tc>
        <w:tc>
          <w:tcPr>
            <w:tcW w:w="185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70.21</w:t>
            </w:r>
          </w:p>
        </w:tc>
        <w:tc>
          <w:tcPr>
            <w:tcW w:w="1856"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70.21</w:t>
            </w:r>
          </w:p>
        </w:tc>
        <w:tc>
          <w:tcPr>
            <w:tcW w:w="1904"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585"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14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bl>
    <w:p>
      <w:pPr>
        <w:widowControl/>
        <w:spacing w:beforeLines="50"/>
        <w:outlineLvl w:val="1"/>
        <w:rPr>
          <w:rFonts w:ascii="仿宋_GB2312" w:hAnsi="宋体" w:eastAsia="仿宋_GB2312"/>
          <w:b/>
          <w:bCs/>
          <w:kern w:val="0"/>
          <w:sz w:val="32"/>
          <w:szCs w:val="32"/>
        </w:rPr>
      </w:pPr>
    </w:p>
    <w:p>
      <w:pPr>
        <w:widowControl/>
        <w:spacing w:beforeLines="50"/>
        <w:outlineLvl w:val="1"/>
        <w:rPr>
          <w:rFonts w:ascii="仿宋_GB2312" w:hAnsi="宋体" w:eastAsia="仿宋_GB2312"/>
          <w:b/>
          <w:bCs/>
          <w:kern w:val="0"/>
          <w:sz w:val="32"/>
          <w:szCs w:val="32"/>
        </w:rPr>
      </w:pPr>
    </w:p>
    <w:p>
      <w:pPr>
        <w:widowControl/>
        <w:spacing w:beforeLines="50"/>
        <w:outlineLvl w:val="1"/>
        <w:rPr>
          <w:rFonts w:ascii="仿宋_GB2312" w:hAnsi="宋体" w:eastAsia="仿宋_GB2312"/>
          <w:b/>
          <w:bCs/>
          <w:kern w:val="0"/>
          <w:sz w:val="32"/>
          <w:szCs w:val="32"/>
        </w:rPr>
      </w:pPr>
    </w:p>
    <w:p>
      <w:pPr>
        <w:widowControl/>
        <w:spacing w:beforeLines="50"/>
        <w:outlineLvl w:val="1"/>
        <w:rPr>
          <w:rFonts w:ascii="仿宋_GB2312" w:hAnsi="宋体" w:eastAsia="仿宋_GB2312"/>
          <w:b/>
          <w:bCs/>
          <w:kern w:val="0"/>
          <w:sz w:val="32"/>
          <w:szCs w:val="32"/>
        </w:rPr>
      </w:pPr>
    </w:p>
    <w:p>
      <w:pPr>
        <w:widowControl/>
        <w:spacing w:beforeLines="50"/>
        <w:outlineLvl w:val="1"/>
        <w:rPr>
          <w:rFonts w:ascii="仿宋_GB2312" w:hAnsi="宋体" w:eastAsia="仿宋_GB2312"/>
          <w:b/>
          <w:bCs/>
          <w:kern w:val="0"/>
          <w:sz w:val="32"/>
          <w:szCs w:val="32"/>
        </w:rPr>
      </w:pPr>
    </w:p>
    <w:p>
      <w:pPr>
        <w:widowControl/>
        <w:spacing w:beforeLines="50"/>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表四：</w:t>
      </w:r>
    </w:p>
    <w:p>
      <w:pPr>
        <w:widowControl/>
        <w:spacing w:beforeLines="50"/>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cs="仿宋_GB2312"/>
          <w:kern w:val="0"/>
          <w:sz w:val="28"/>
          <w:szCs w:val="28"/>
        </w:rPr>
        <w:t>编制部门：</w:t>
      </w:r>
      <w:r>
        <w:rPr>
          <w:rFonts w:hint="eastAsia" w:ascii="宋体" w:hAnsi="宋体" w:cs="宋体"/>
        </w:rPr>
        <w:t>新疆维吾尔自治区人民检察院和田分院</w:t>
      </w:r>
      <w:r>
        <w:rPr>
          <w:rFonts w:ascii="仿宋_GB2312" w:hAnsi="宋体" w:eastAsia="仿宋_GB2312" w:cs="仿宋_GB2312"/>
          <w:kern w:val="0"/>
        </w:rPr>
        <w:t xml:space="preserve"> </w:t>
      </w:r>
      <w:r>
        <w:rPr>
          <w:rFonts w:ascii="仿宋_GB2312" w:hAnsi="宋体" w:eastAsia="仿宋_GB2312" w:cs="仿宋_GB2312"/>
          <w:kern w:val="0"/>
          <w:sz w:val="28"/>
          <w:szCs w:val="28"/>
        </w:rPr>
        <w:t xml:space="preserve"> </w:t>
      </w:r>
      <w:r>
        <w:rPr>
          <w:rFonts w:ascii="仿宋_GB2312" w:hAnsi="宋体" w:eastAsia="仿宋_GB2312" w:cs="仿宋_GB2312"/>
          <w:kern w:val="0"/>
          <w:sz w:val="24"/>
          <w:szCs w:val="24"/>
        </w:rPr>
        <w:t xml:space="preserve"> </w:t>
      </w:r>
      <w:r>
        <w:rPr>
          <w:rFonts w:ascii="仿宋_GB2312" w:hAnsi="宋体" w:eastAsia="仿宋_GB2312" w:cs="仿宋_GB2312"/>
          <w:kern w:val="0"/>
          <w:sz w:val="28"/>
          <w:szCs w:val="28"/>
        </w:rPr>
        <w:t xml:space="preserve">                 </w:t>
      </w:r>
      <w:r>
        <w:rPr>
          <w:rFonts w:hint="eastAsia" w:ascii="仿宋_GB2312" w:hAnsi="宋体" w:eastAsia="仿宋_GB2312" w:cs="仿宋_GB2312"/>
          <w:color w:val="000000"/>
          <w:kern w:val="0"/>
          <w:sz w:val="24"/>
          <w:szCs w:val="24"/>
        </w:rPr>
        <w:t>单位：万元</w:t>
      </w:r>
    </w:p>
    <w:tbl>
      <w:tblPr>
        <w:tblStyle w:val="10"/>
        <w:tblW w:w="9449" w:type="dxa"/>
        <w:tblInd w:w="-106" w:type="dxa"/>
        <w:tblLayout w:type="fixed"/>
        <w:tblCellMar>
          <w:top w:w="0" w:type="dxa"/>
          <w:left w:w="108" w:type="dxa"/>
          <w:bottom w:w="0" w:type="dxa"/>
          <w:right w:w="108" w:type="dxa"/>
        </w:tblCellMar>
      </w:tblPr>
      <w:tblGrid>
        <w:gridCol w:w="1620"/>
        <w:gridCol w:w="1705"/>
        <w:gridCol w:w="2105"/>
        <w:gridCol w:w="1418"/>
        <w:gridCol w:w="1275"/>
        <w:gridCol w:w="1326"/>
      </w:tblGrid>
      <w:tr>
        <w:tblPrEx>
          <w:tblLayout w:type="fixed"/>
          <w:tblCellMar>
            <w:top w:w="0" w:type="dxa"/>
            <w:left w:w="108" w:type="dxa"/>
            <w:bottom w:w="0" w:type="dxa"/>
            <w:right w:w="108" w:type="dxa"/>
          </w:tblCellMar>
        </w:tblPrEx>
        <w:trPr>
          <w:trHeight w:val="285" w:hRule="atLeast"/>
        </w:trPr>
        <w:tc>
          <w:tcPr>
            <w:tcW w:w="332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财政拨款收入</w:t>
            </w:r>
          </w:p>
        </w:tc>
        <w:tc>
          <w:tcPr>
            <w:tcW w:w="6124"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项</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目</w:t>
            </w:r>
          </w:p>
        </w:tc>
        <w:tc>
          <w:tcPr>
            <w:tcW w:w="1705"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合计</w:t>
            </w:r>
          </w:p>
        </w:tc>
        <w:tc>
          <w:tcPr>
            <w:tcW w:w="2105"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功</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能</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分</w:t>
            </w:r>
            <w:r>
              <w:rPr>
                <w:rFonts w:ascii="仿宋_GB2312" w:hAnsi="宋体" w:eastAsia="仿宋_GB2312" w:cs="仿宋_GB2312"/>
                <w:b/>
                <w:bCs/>
                <w:kern w:val="0"/>
                <w:sz w:val="20"/>
                <w:szCs w:val="20"/>
              </w:rPr>
              <w:t xml:space="preserve">  </w:t>
            </w:r>
            <w:r>
              <w:rPr>
                <w:rFonts w:hint="eastAsia" w:ascii="仿宋_GB2312" w:hAnsi="宋体" w:eastAsia="仿宋_GB2312" w:cs="仿宋_GB2312"/>
                <w:b/>
                <w:bCs/>
                <w:kern w:val="0"/>
                <w:sz w:val="20"/>
                <w:szCs w:val="20"/>
              </w:rPr>
              <w:t>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kern w:val="0"/>
                <w:sz w:val="20"/>
                <w:szCs w:val="20"/>
              </w:rPr>
            </w:pPr>
            <w:r>
              <w:rPr>
                <w:rFonts w:hint="eastAsia" w:ascii="仿宋_GB2312" w:hAnsi="宋体" w:eastAsia="仿宋_GB2312" w:cs="仿宋_GB2312"/>
                <w:b/>
                <w:bCs/>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财政拨款（补助）</w:t>
            </w:r>
          </w:p>
        </w:tc>
        <w:tc>
          <w:tcPr>
            <w:tcW w:w="170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1852.37</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201 </w:t>
            </w:r>
            <w:r>
              <w:rPr>
                <w:rFonts w:hint="eastAsia" w:ascii="仿宋_GB2312" w:hAnsi="宋体" w:eastAsia="仿宋_GB2312" w:cs="仿宋_GB2312"/>
                <w:kern w:val="0"/>
                <w:sz w:val="18"/>
                <w:szCs w:val="18"/>
              </w:rPr>
              <w:t>一般公共服务支出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18"/>
                <w:szCs w:val="18"/>
              </w:rPr>
            </w:pP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一般公共预算</w:t>
            </w:r>
          </w:p>
        </w:tc>
        <w:tc>
          <w:tcPr>
            <w:tcW w:w="170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1852.37</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202 </w:t>
            </w:r>
            <w:r>
              <w:rPr>
                <w:rFonts w:hint="eastAsia" w:ascii="仿宋_GB2312" w:hAnsi="宋体" w:eastAsia="仿宋_GB2312" w:cs="仿宋_GB2312"/>
                <w:kern w:val="0"/>
                <w:sz w:val="18"/>
                <w:szCs w:val="18"/>
              </w:rPr>
              <w:t>外交支出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18"/>
                <w:szCs w:val="18"/>
              </w:rPr>
            </w:pP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政府性基金预算</w:t>
            </w:r>
          </w:p>
        </w:tc>
        <w:tc>
          <w:tcPr>
            <w:tcW w:w="1705"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203 </w:t>
            </w:r>
            <w:r>
              <w:rPr>
                <w:rFonts w:hint="eastAsia" w:ascii="仿宋_GB2312" w:hAnsi="宋体" w:eastAsia="仿宋_GB2312" w:cs="仿宋_GB2312"/>
                <w:kern w:val="0"/>
                <w:sz w:val="18"/>
                <w:szCs w:val="18"/>
              </w:rPr>
              <w:t>国防支出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204 </w:t>
            </w:r>
            <w:r>
              <w:rPr>
                <w:rFonts w:hint="eastAsia" w:ascii="仿宋_GB2312" w:hAnsi="宋体" w:eastAsia="仿宋_GB2312" w:cs="仿宋_GB2312"/>
                <w:kern w:val="0"/>
                <w:sz w:val="18"/>
                <w:szCs w:val="18"/>
              </w:rPr>
              <w:t>公共安全支出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1641.75</w:t>
            </w:r>
          </w:p>
        </w:tc>
        <w:tc>
          <w:tcPr>
            <w:tcW w:w="127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1641.75</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205 </w:t>
            </w:r>
            <w:r>
              <w:rPr>
                <w:rFonts w:hint="eastAsia" w:ascii="仿宋_GB2312" w:hAnsi="宋体" w:eastAsia="仿宋_GB2312" w:cs="仿宋_GB2312"/>
                <w:kern w:val="0"/>
                <w:sz w:val="18"/>
                <w:szCs w:val="18"/>
              </w:rPr>
              <w:t>教育支出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275"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206 </w:t>
            </w:r>
            <w:r>
              <w:rPr>
                <w:rFonts w:hint="eastAsia" w:ascii="仿宋_GB2312" w:hAnsi="宋体" w:eastAsia="仿宋_GB2312" w:cs="仿宋_GB2312"/>
                <w:kern w:val="0"/>
                <w:sz w:val="18"/>
                <w:szCs w:val="18"/>
              </w:rPr>
              <w:t>科学技术支出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275"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4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207 </w:t>
            </w:r>
            <w:r>
              <w:rPr>
                <w:rFonts w:hint="eastAsia" w:ascii="仿宋_GB2312" w:hAnsi="宋体" w:eastAsia="仿宋_GB2312" w:cs="仿宋_GB2312"/>
                <w:kern w:val="0"/>
                <w:sz w:val="18"/>
                <w:szCs w:val="18"/>
              </w:rPr>
              <w:t>文化旅游体育与传媒支出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275"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7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208 </w:t>
            </w:r>
            <w:r>
              <w:rPr>
                <w:rFonts w:hint="eastAsia" w:ascii="仿宋_GB2312" w:hAnsi="宋体" w:eastAsia="仿宋_GB2312" w:cs="仿宋_GB2312"/>
                <w:kern w:val="0"/>
                <w:sz w:val="18"/>
                <w:szCs w:val="18"/>
              </w:rPr>
              <w:t>社会保障和就业支出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275"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210</w:t>
            </w:r>
            <w:r>
              <w:rPr>
                <w:rFonts w:hint="eastAsia" w:ascii="仿宋_GB2312" w:hAnsi="宋体" w:eastAsia="仿宋_GB2312" w:cs="仿宋_GB2312"/>
                <w:kern w:val="0"/>
                <w:sz w:val="18"/>
                <w:szCs w:val="18"/>
              </w:rPr>
              <w:t>卫生健康支出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5"/>
                <w:szCs w:val="15"/>
              </w:rPr>
            </w:pPr>
            <w:r>
              <w:rPr>
                <w:rFonts w:ascii="仿宋_GB2312" w:hAnsi="宋体" w:eastAsia="仿宋_GB2312" w:cs="仿宋_GB2312"/>
                <w:kern w:val="0"/>
                <w:sz w:val="18"/>
                <w:szCs w:val="18"/>
              </w:rPr>
              <w:t xml:space="preserve">211 </w:t>
            </w:r>
            <w:r>
              <w:rPr>
                <w:rFonts w:hint="eastAsia" w:ascii="仿宋_GB2312" w:hAnsi="宋体" w:eastAsia="仿宋_GB2312" w:cs="仿宋_GB2312"/>
                <w:kern w:val="0"/>
                <w:sz w:val="18"/>
                <w:szCs w:val="18"/>
              </w:rPr>
              <w:t>节能环保支出</w:t>
            </w:r>
          </w:p>
        </w:tc>
        <w:tc>
          <w:tcPr>
            <w:tcW w:w="1418"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212 </w:t>
            </w:r>
            <w:r>
              <w:rPr>
                <w:rFonts w:hint="eastAsia" w:ascii="仿宋_GB2312" w:hAnsi="宋体" w:eastAsia="仿宋_GB2312" w:cs="仿宋_GB2312"/>
                <w:kern w:val="0"/>
                <w:sz w:val="18"/>
                <w:szCs w:val="18"/>
              </w:rPr>
              <w:t>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213 </w:t>
            </w:r>
            <w:r>
              <w:rPr>
                <w:rFonts w:hint="eastAsia" w:ascii="仿宋_GB2312" w:hAnsi="宋体" w:eastAsia="仿宋_GB2312" w:cs="仿宋_GB2312"/>
                <w:kern w:val="0"/>
                <w:sz w:val="18"/>
                <w:szCs w:val="18"/>
              </w:rPr>
              <w:t>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214 </w:t>
            </w:r>
            <w:r>
              <w:rPr>
                <w:rFonts w:hint="eastAsia" w:ascii="仿宋_GB2312" w:hAnsi="宋体" w:eastAsia="仿宋_GB2312" w:cs="仿宋_GB2312"/>
                <w:kern w:val="0"/>
                <w:sz w:val="18"/>
                <w:szCs w:val="18"/>
              </w:rPr>
              <w:t>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0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215 </w:t>
            </w:r>
            <w:r>
              <w:rPr>
                <w:rFonts w:hint="eastAsia" w:ascii="仿宋_GB2312" w:hAnsi="宋体" w:eastAsia="仿宋_GB2312" w:cs="仿宋_GB2312"/>
                <w:kern w:val="0"/>
                <w:sz w:val="18"/>
                <w:szCs w:val="18"/>
              </w:rPr>
              <w:t>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216 </w:t>
            </w:r>
            <w:r>
              <w:rPr>
                <w:rFonts w:hint="eastAsia" w:ascii="仿宋_GB2312" w:hAnsi="宋体" w:eastAsia="仿宋_GB2312" w:cs="仿宋_GB2312"/>
                <w:kern w:val="0"/>
                <w:sz w:val="18"/>
                <w:szCs w:val="18"/>
              </w:rPr>
              <w:t>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217 </w:t>
            </w:r>
            <w:r>
              <w:rPr>
                <w:rFonts w:hint="eastAsia" w:ascii="仿宋_GB2312" w:hAnsi="宋体" w:eastAsia="仿宋_GB2312" w:cs="仿宋_GB2312"/>
                <w:kern w:val="0"/>
                <w:sz w:val="18"/>
                <w:szCs w:val="18"/>
              </w:rPr>
              <w:t>金融支出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219 </w:t>
            </w:r>
            <w:r>
              <w:rPr>
                <w:rFonts w:hint="eastAsia" w:ascii="仿宋_GB2312" w:hAnsi="宋体" w:eastAsia="仿宋_GB2312" w:cs="仿宋_GB2312"/>
                <w:kern w:val="0"/>
                <w:sz w:val="18"/>
                <w:szCs w:val="18"/>
              </w:rPr>
              <w:t>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37"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220 </w:t>
            </w:r>
            <w:r>
              <w:rPr>
                <w:rFonts w:hint="eastAsia" w:ascii="仿宋_GB2312" w:hAnsi="宋体" w:eastAsia="仿宋_GB2312" w:cs="仿宋_GB2312"/>
                <w:kern w:val="0"/>
                <w:sz w:val="18"/>
                <w:szCs w:val="18"/>
              </w:rPr>
              <w:t>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221 </w:t>
            </w:r>
            <w:r>
              <w:rPr>
                <w:rFonts w:hint="eastAsia" w:ascii="仿宋_GB2312" w:hAnsi="宋体" w:eastAsia="仿宋_GB2312" w:cs="仿宋_GB2312"/>
                <w:kern w:val="0"/>
                <w:sz w:val="18"/>
                <w:szCs w:val="18"/>
              </w:rPr>
              <w:t>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222 </w:t>
            </w:r>
            <w:r>
              <w:rPr>
                <w:rFonts w:hint="eastAsia" w:ascii="仿宋_GB2312" w:hAnsi="宋体" w:eastAsia="仿宋_GB2312" w:cs="仿宋_GB2312"/>
                <w:kern w:val="0"/>
                <w:sz w:val="18"/>
                <w:szCs w:val="18"/>
              </w:rPr>
              <w:t>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7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224</w:t>
            </w:r>
            <w:r>
              <w:rPr>
                <w:rFonts w:hint="eastAsia" w:ascii="仿宋_GB2312" w:hAnsi="宋体" w:eastAsia="仿宋_GB2312" w:cs="仿宋_GB2312"/>
                <w:kern w:val="0"/>
                <w:sz w:val="18"/>
                <w:szCs w:val="18"/>
              </w:rPr>
              <w:t>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5"/>
                <w:szCs w:val="15"/>
              </w:rPr>
            </w:pPr>
            <w:r>
              <w:rPr>
                <w:rFonts w:ascii="仿宋_GB2312" w:hAnsi="宋体" w:eastAsia="仿宋_GB2312" w:cs="仿宋_GB2312"/>
                <w:kern w:val="0"/>
                <w:sz w:val="18"/>
                <w:szCs w:val="18"/>
              </w:rPr>
              <w:t xml:space="preserve">227 </w:t>
            </w:r>
            <w:r>
              <w:rPr>
                <w:rFonts w:hint="eastAsia" w:ascii="仿宋_GB2312" w:hAnsi="宋体" w:eastAsia="仿宋_GB2312" w:cs="仿宋_GB2312"/>
                <w:kern w:val="0"/>
                <w:sz w:val="18"/>
                <w:szCs w:val="18"/>
              </w:rPr>
              <w:t>预备费</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229 </w:t>
            </w:r>
            <w:r>
              <w:rPr>
                <w:rFonts w:hint="eastAsia" w:ascii="仿宋_GB2312" w:hAnsi="宋体" w:eastAsia="仿宋_GB2312" w:cs="仿宋_GB2312"/>
                <w:kern w:val="0"/>
                <w:sz w:val="18"/>
                <w:szCs w:val="18"/>
              </w:rPr>
              <w:t>其他支出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230</w:t>
            </w:r>
            <w:r>
              <w:rPr>
                <w:rFonts w:hint="eastAsia" w:ascii="仿宋_GB2312" w:hAnsi="宋体" w:eastAsia="仿宋_GB2312" w:cs="仿宋_GB2312"/>
                <w:kern w:val="0"/>
                <w:sz w:val="18"/>
                <w:szCs w:val="18"/>
              </w:rPr>
              <w:t>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231 </w:t>
            </w:r>
            <w:r>
              <w:rPr>
                <w:rFonts w:hint="eastAsia" w:ascii="仿宋_GB2312" w:hAnsi="宋体" w:eastAsia="仿宋_GB2312" w:cs="仿宋_GB2312"/>
                <w:kern w:val="0"/>
                <w:sz w:val="18"/>
                <w:szCs w:val="18"/>
              </w:rPr>
              <w:t>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232 </w:t>
            </w:r>
            <w:r>
              <w:rPr>
                <w:rFonts w:hint="eastAsia" w:ascii="仿宋_GB2312" w:hAnsi="宋体" w:eastAsia="仿宋_GB2312" w:cs="仿宋_GB2312"/>
                <w:kern w:val="0"/>
                <w:sz w:val="18"/>
                <w:szCs w:val="18"/>
              </w:rPr>
              <w:t>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hint="eastAsia" w:ascii="仿宋_GB2312" w:hAnsi="宋体" w:eastAsia="仿宋_GB2312" w:cs="仿宋_GB2312"/>
                <w:kern w:val="0"/>
                <w:sz w:val="18"/>
                <w:szCs w:val="18"/>
              </w:rPr>
              <w:t>　</w:t>
            </w:r>
          </w:p>
        </w:tc>
        <w:tc>
          <w:tcPr>
            <w:tcW w:w="1705" w:type="dxa"/>
            <w:tcBorders>
              <w:top w:val="nil"/>
              <w:left w:val="nil"/>
              <w:bottom w:val="single" w:color="auto" w:sz="4" w:space="0"/>
              <w:right w:val="single" w:color="auto" w:sz="4" w:space="0"/>
            </w:tcBorders>
            <w:vAlign w:val="bottom"/>
          </w:tcPr>
          <w:p>
            <w:pPr>
              <w:widowControl/>
              <w:jc w:val="left"/>
              <w:rPr>
                <w:rFonts w:ascii="仿宋_GB2312" w:hAnsi="宋体" w:eastAsia="仿宋_GB2312"/>
                <w:color w:val="000000"/>
                <w:kern w:val="0"/>
                <w:sz w:val="22"/>
                <w:szCs w:val="22"/>
              </w:rPr>
            </w:pPr>
            <w:r>
              <w:rPr>
                <w:rFonts w:hint="eastAsia" w:ascii="仿宋_GB2312" w:hAnsi="宋体" w:eastAsia="仿宋_GB2312" w:cs="仿宋_GB2312"/>
                <w:color w:val="000000"/>
                <w:kern w:val="0"/>
                <w:sz w:val="22"/>
                <w:szCs w:val="22"/>
              </w:rPr>
              <w:t>　</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18"/>
                <w:szCs w:val="18"/>
              </w:rPr>
            </w:pPr>
            <w:r>
              <w:rPr>
                <w:rFonts w:ascii="仿宋_GB2312" w:hAnsi="宋体" w:eastAsia="仿宋_GB2312" w:cs="仿宋_GB2312"/>
                <w:kern w:val="0"/>
                <w:sz w:val="18"/>
                <w:szCs w:val="18"/>
              </w:rPr>
              <w:t xml:space="preserve">233 </w:t>
            </w:r>
            <w:r>
              <w:rPr>
                <w:rFonts w:hint="eastAsia" w:ascii="仿宋_GB2312" w:hAnsi="宋体" w:eastAsia="仿宋_GB2312" w:cs="仿宋_GB2312"/>
                <w:kern w:val="0"/>
                <w:sz w:val="18"/>
                <w:szCs w:val="18"/>
              </w:rPr>
              <w:t>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93"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705" w:type="dxa"/>
            <w:tcBorders>
              <w:top w:val="nil"/>
              <w:left w:val="nil"/>
              <w:bottom w:val="single" w:color="auto" w:sz="4" w:space="0"/>
              <w:right w:val="single" w:color="auto" w:sz="4" w:space="0"/>
            </w:tcBorders>
            <w:vAlign w:val="center"/>
          </w:tcPr>
          <w:p>
            <w:pPr>
              <w:widowControl/>
              <w:jc w:val="right"/>
              <w:rPr>
                <w:rFonts w:ascii="仿宋_GB2312" w:hAnsi="宋体" w:eastAsia="仿宋_GB2312"/>
                <w:color w:val="000000"/>
                <w:kern w:val="0"/>
                <w:sz w:val="22"/>
                <w:szCs w:val="22"/>
              </w:rPr>
            </w:pPr>
            <w:r>
              <w:rPr>
                <w:sz w:val="18"/>
                <w:szCs w:val="18"/>
              </w:rPr>
              <w:t>1852.37</w:t>
            </w:r>
          </w:p>
        </w:tc>
        <w:tc>
          <w:tcPr>
            <w:tcW w:w="2105" w:type="dxa"/>
            <w:tcBorders>
              <w:top w:val="nil"/>
              <w:left w:val="nil"/>
              <w:bottom w:val="single" w:color="auto" w:sz="4" w:space="0"/>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cs="仿宋_GB2312"/>
                <w:kern w:val="0"/>
                <w:sz w:val="20"/>
                <w:szCs w:val="20"/>
              </w:rPr>
              <w:t>小</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418"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sz w:val="18"/>
                <w:szCs w:val="18"/>
              </w:rPr>
              <w:t>1852.37</w:t>
            </w:r>
          </w:p>
        </w:tc>
        <w:tc>
          <w:tcPr>
            <w:tcW w:w="1275"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sz w:val="18"/>
                <w:szCs w:val="18"/>
              </w:rPr>
              <w:t>1852.37</w:t>
            </w:r>
          </w:p>
        </w:tc>
        <w:tc>
          <w:tcPr>
            <w:tcW w:w="1326" w:type="dxa"/>
            <w:tcBorders>
              <w:top w:val="nil"/>
              <w:left w:val="nil"/>
              <w:bottom w:val="single" w:color="auto" w:sz="4" w:space="0"/>
              <w:right w:val="single" w:color="auto" w:sz="4" w:space="0"/>
            </w:tcBorders>
            <w:vAlign w:val="center"/>
          </w:tcPr>
          <w:p>
            <w:pPr>
              <w:widowControl/>
              <w:jc w:val="right"/>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93" w:hRule="exact"/>
        </w:trPr>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0"/>
                <w:szCs w:val="20"/>
              </w:rPr>
            </w:pPr>
          </w:p>
        </w:tc>
        <w:tc>
          <w:tcPr>
            <w:tcW w:w="1705" w:type="dxa"/>
            <w:tcBorders>
              <w:top w:val="single" w:color="auto" w:sz="4" w:space="0"/>
              <w:left w:val="single" w:color="auto" w:sz="4" w:space="0"/>
              <w:bottom w:val="single" w:color="auto" w:sz="4" w:space="0"/>
              <w:right w:val="single" w:color="auto" w:sz="4" w:space="0"/>
            </w:tcBorders>
            <w:vAlign w:val="center"/>
          </w:tcPr>
          <w:p>
            <w:pPr>
              <w:widowControl/>
              <w:jc w:val="right"/>
              <w:rPr>
                <w:sz w:val="18"/>
                <w:szCs w:val="18"/>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仿宋_GB2312" w:hAnsi="宋体" w:eastAsia="仿宋_GB2312"/>
                <w:kern w:val="0"/>
                <w:sz w:val="20"/>
                <w:szCs w:val="20"/>
              </w:rPr>
            </w:pPr>
            <w:r>
              <w:rPr>
                <w:rFonts w:ascii="仿宋_GB2312" w:hAnsi="宋体" w:eastAsia="仿宋_GB2312" w:cs="仿宋_GB2312"/>
                <w:kern w:val="0"/>
                <w:sz w:val="20"/>
                <w:szCs w:val="20"/>
              </w:rPr>
              <w:t>230</w:t>
            </w:r>
            <w:r>
              <w:rPr>
                <w:rFonts w:hint="eastAsia" w:ascii="仿宋_GB2312" w:hAnsi="宋体" w:eastAsia="仿宋_GB2312" w:cs="仿宋_GB2312"/>
                <w:kern w:val="0"/>
                <w:sz w:val="20"/>
                <w:szCs w:val="20"/>
              </w:rPr>
              <w:t>转移性支出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sz w:val="18"/>
                <w:szCs w:val="18"/>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kern w:val="0"/>
                <w:sz w:val="18"/>
                <w:szCs w:val="18"/>
              </w:rPr>
            </w:pPr>
          </w:p>
        </w:tc>
      </w:tr>
      <w:tr>
        <w:tblPrEx>
          <w:tblLayout w:type="fixed"/>
          <w:tblCellMar>
            <w:top w:w="0" w:type="dxa"/>
            <w:left w:w="108" w:type="dxa"/>
            <w:bottom w:w="0" w:type="dxa"/>
            <w:right w:w="108" w:type="dxa"/>
          </w:tblCellMar>
        </w:tblPrEx>
        <w:trPr>
          <w:trHeight w:val="493" w:hRule="exact"/>
        </w:trPr>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cs="仿宋_GB2312"/>
                <w:kern w:val="0"/>
                <w:sz w:val="20"/>
                <w:szCs w:val="20"/>
              </w:rPr>
              <w:t>收</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入</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705"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22"/>
                <w:szCs w:val="22"/>
              </w:rPr>
            </w:pPr>
            <w:r>
              <w:rPr>
                <w:sz w:val="18"/>
                <w:szCs w:val="18"/>
              </w:rPr>
              <w:t>1852.37</w:t>
            </w:r>
            <w:r>
              <w:rPr>
                <w:rFonts w:hint="eastAsia" w:ascii="仿宋_GB2312" w:hAnsi="宋体" w:eastAsia="仿宋_GB2312" w:cs="仿宋_GB2312"/>
                <w:color w:val="000000"/>
                <w:kern w:val="0"/>
                <w:sz w:val="22"/>
                <w:szCs w:val="22"/>
              </w:rPr>
              <w:t>　</w:t>
            </w: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sz w:val="20"/>
                <w:szCs w:val="20"/>
              </w:rPr>
            </w:pPr>
            <w:r>
              <w:rPr>
                <w:rFonts w:hint="eastAsia" w:ascii="仿宋_GB2312" w:hAnsi="宋体" w:eastAsia="仿宋_GB2312" w:cs="仿宋_GB2312"/>
                <w:kern w:val="0"/>
                <w:sz w:val="20"/>
                <w:szCs w:val="20"/>
              </w:rPr>
              <w:t>支</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出</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总</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计</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kern w:val="0"/>
                <w:sz w:val="18"/>
                <w:szCs w:val="18"/>
              </w:rPr>
            </w:pPr>
            <w:r>
              <w:rPr>
                <w:sz w:val="18"/>
                <w:szCs w:val="18"/>
              </w:rPr>
              <w:t>1852.37</w:t>
            </w:r>
            <w:r>
              <w:rPr>
                <w:rFonts w:hint="eastAsia" w:ascii="宋体" w:hAnsi="宋体" w:cs="宋体"/>
                <w:color w:val="000000"/>
                <w:kern w:val="0"/>
                <w:sz w:val="22"/>
                <w:szCs w:val="22"/>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kern w:val="0"/>
                <w:sz w:val="18"/>
                <w:szCs w:val="18"/>
              </w:rPr>
            </w:pPr>
            <w:r>
              <w:rPr>
                <w:sz w:val="18"/>
                <w:szCs w:val="18"/>
              </w:rPr>
              <w:t>1852.37</w:t>
            </w:r>
            <w:r>
              <w:rPr>
                <w:rFonts w:hint="eastAsia" w:ascii="宋体" w:hAnsi="宋体" w:cs="宋体"/>
                <w:color w:val="000000"/>
                <w:kern w:val="0"/>
                <w:sz w:val="22"/>
                <w:szCs w:val="22"/>
              </w:rPr>
              <w:t>　</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kern w:val="0"/>
                <w:sz w:val="18"/>
                <w:szCs w:val="18"/>
              </w:rPr>
            </w:pP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表五：</w:t>
      </w:r>
    </w:p>
    <w:tbl>
      <w:tblPr>
        <w:tblStyle w:val="10"/>
        <w:tblW w:w="9214" w:type="dxa"/>
        <w:tblInd w:w="-106"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w:t>
            </w:r>
            <w:r>
              <w:rPr>
                <w:rFonts w:hint="eastAsia" w:ascii="宋体" w:hAnsi="宋体" w:cs="宋体"/>
                <w:sz w:val="15"/>
                <w:szCs w:val="15"/>
              </w:rPr>
              <w:t>新疆维吾尔自治区人民检察院和田分院</w:t>
            </w:r>
            <w:r>
              <w:rPr>
                <w:rFonts w:ascii="仿宋_GB2312" w:hAnsi="宋体" w:eastAsia="仿宋_GB2312" w:cs="仿宋_GB2312"/>
                <w:kern w:val="0"/>
                <w:sz w:val="15"/>
                <w:szCs w:val="15"/>
              </w:rPr>
              <w:t xml:space="preserve">  </w:t>
            </w:r>
            <w:r>
              <w:rPr>
                <w:rFonts w:ascii="仿宋_GB2312" w:hAnsi="宋体" w:eastAsia="仿宋_GB2312" w:cs="仿宋_GB2312"/>
                <w:kern w:val="0"/>
                <w:sz w:val="24"/>
                <w:szCs w:val="24"/>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olor w:val="000000"/>
                <w:kern w:val="0"/>
                <w:sz w:val="24"/>
                <w:szCs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合计</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1852.37</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1691.37</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公共安全支出</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1641.75</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1480.75</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　</w:t>
            </w: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检察</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1641.75</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1480.75</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01</w:t>
            </w: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行政运行（检察）</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1480.75</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1480.75</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204</w:t>
            </w: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04</w:t>
            </w: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99</w:t>
            </w: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其他检察支出</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161</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rFonts w:hint="eastAsia" w:cs="宋体"/>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行政事业单位养老支出</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210.62</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140.41</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140.41</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sz w:val="18"/>
                <w:szCs w:val="18"/>
              </w:rPr>
            </w:pPr>
            <w:r>
              <w:rPr>
                <w:sz w:val="18"/>
                <w:szCs w:val="18"/>
              </w:rPr>
              <w:t>208</w:t>
            </w:r>
          </w:p>
        </w:tc>
        <w:tc>
          <w:tcPr>
            <w:tcW w:w="492"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05</w:t>
            </w:r>
          </w:p>
        </w:tc>
        <w:tc>
          <w:tcPr>
            <w:tcW w:w="417"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06</w:t>
            </w:r>
          </w:p>
        </w:tc>
        <w:tc>
          <w:tcPr>
            <w:tcW w:w="2510" w:type="dxa"/>
            <w:tcBorders>
              <w:top w:val="nil"/>
              <w:left w:val="nil"/>
              <w:bottom w:val="single" w:color="auto" w:sz="4" w:space="0"/>
              <w:right w:val="single" w:color="auto" w:sz="4" w:space="0"/>
            </w:tcBorders>
            <w:vAlign w:val="center"/>
          </w:tcPr>
          <w:p>
            <w:pPr>
              <w:jc w:val="center"/>
              <w:rPr>
                <w:rFonts w:ascii="宋体"/>
                <w:sz w:val="18"/>
                <w:szCs w:val="18"/>
              </w:rPr>
            </w:pPr>
            <w:r>
              <w:rPr>
                <w:sz w:val="18"/>
                <w:szCs w:val="18"/>
              </w:rPr>
              <w:t xml:space="preserve">    </w:t>
            </w:r>
            <w:r>
              <w:rPr>
                <w:rFonts w:hint="eastAsia" w:cs="宋体"/>
                <w:sz w:val="18"/>
                <w:szCs w:val="18"/>
              </w:rPr>
              <w:t>机关事业单位职业年金缴费支出</w:t>
            </w:r>
          </w:p>
        </w:tc>
        <w:tc>
          <w:tcPr>
            <w:tcW w:w="1684"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70.21</w:t>
            </w:r>
          </w:p>
        </w:tc>
        <w:tc>
          <w:tcPr>
            <w:tcW w:w="1842"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70.21</w:t>
            </w:r>
          </w:p>
        </w:tc>
        <w:tc>
          <w:tcPr>
            <w:tcW w:w="170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92"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vAlign w:val="center"/>
          </w:tcPr>
          <w:p>
            <w:pPr>
              <w:widowControl/>
              <w:jc w:val="center"/>
              <w:rPr>
                <w:rFonts w:ascii="宋体"/>
                <w:b/>
                <w:bCs/>
                <w:color w:val="000000"/>
                <w:kern w:val="0"/>
                <w:sz w:val="16"/>
                <w:szCs w:val="16"/>
              </w:rPr>
            </w:pPr>
            <w:r>
              <w:rPr>
                <w:rFonts w:hint="eastAsia" w:ascii="宋体" w:hAnsi="宋体" w:cs="宋体"/>
                <w:b/>
                <w:bCs/>
                <w:color w:val="000000"/>
                <w:kern w:val="0"/>
                <w:sz w:val="16"/>
                <w:szCs w:val="16"/>
              </w:rPr>
              <w:t>　</w:t>
            </w:r>
          </w:p>
        </w:tc>
        <w:tc>
          <w:tcPr>
            <w:tcW w:w="2510"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表六：</w:t>
      </w:r>
    </w:p>
    <w:tbl>
      <w:tblPr>
        <w:tblStyle w:val="10"/>
        <w:tblW w:w="9100" w:type="dxa"/>
        <w:tblInd w:w="-106" w:type="dxa"/>
        <w:tblLayout w:type="fixed"/>
        <w:tblCellMar>
          <w:top w:w="0" w:type="dxa"/>
          <w:left w:w="108" w:type="dxa"/>
          <w:bottom w:w="0" w:type="dxa"/>
          <w:right w:w="108" w:type="dxa"/>
        </w:tblCellMar>
      </w:tblPr>
      <w:tblGrid>
        <w:gridCol w:w="738"/>
        <w:gridCol w:w="563"/>
        <w:gridCol w:w="2820"/>
        <w:gridCol w:w="971"/>
        <w:gridCol w:w="688"/>
        <w:gridCol w:w="953"/>
        <w:gridCol w:w="706"/>
        <w:gridCol w:w="1661"/>
      </w:tblGrid>
      <w:tr>
        <w:tblPrEx>
          <w:tblLayout w:type="fixed"/>
          <w:tblCellMar>
            <w:top w:w="0" w:type="dxa"/>
            <w:left w:w="108" w:type="dxa"/>
            <w:bottom w:w="0" w:type="dxa"/>
            <w:right w:w="108" w:type="dxa"/>
          </w:tblCellMar>
        </w:tblPrEx>
        <w:trPr>
          <w:trHeight w:val="337" w:hRule="atLeast"/>
        </w:trPr>
        <w:tc>
          <w:tcPr>
            <w:tcW w:w="9100" w:type="dxa"/>
            <w:gridSpan w:val="8"/>
            <w:tcBorders>
              <w:top w:val="nil"/>
              <w:left w:val="nil"/>
              <w:bottom w:val="nil"/>
              <w:right w:val="nil"/>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363" w:hRule="atLeast"/>
        </w:trPr>
        <w:tc>
          <w:tcPr>
            <w:tcW w:w="4121" w:type="dxa"/>
            <w:gridSpan w:val="3"/>
            <w:tcBorders>
              <w:top w:val="nil"/>
              <w:left w:val="nil"/>
              <w:bottom w:val="nil"/>
              <w:right w:val="nil"/>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w:t>
            </w:r>
            <w:r>
              <w:rPr>
                <w:rFonts w:hint="eastAsia" w:ascii="宋体" w:hAnsi="宋体" w:cs="宋体"/>
                <w:sz w:val="15"/>
                <w:szCs w:val="15"/>
              </w:rPr>
              <w:t>新疆维吾尔自治区人民检察院和田分院</w:t>
            </w:r>
          </w:p>
        </w:tc>
        <w:tc>
          <w:tcPr>
            <w:tcW w:w="971" w:type="dxa"/>
            <w:tcBorders>
              <w:top w:val="nil"/>
              <w:left w:val="nil"/>
              <w:bottom w:val="nil"/>
              <w:right w:val="nil"/>
            </w:tcBorders>
            <w:vAlign w:val="center"/>
          </w:tcPr>
          <w:p>
            <w:pPr>
              <w:widowControl/>
              <w:jc w:val="left"/>
              <w:rPr>
                <w:rFonts w:ascii="仿宋_GB2312" w:hAnsi="宋体" w:eastAsia="仿宋_GB2312"/>
                <w:color w:val="000000"/>
                <w:kern w:val="0"/>
                <w:sz w:val="24"/>
                <w:szCs w:val="24"/>
              </w:rPr>
            </w:pPr>
          </w:p>
        </w:tc>
        <w:tc>
          <w:tcPr>
            <w:tcW w:w="1641" w:type="dxa"/>
            <w:gridSpan w:val="2"/>
            <w:tcBorders>
              <w:top w:val="nil"/>
              <w:left w:val="nil"/>
              <w:bottom w:val="nil"/>
              <w:right w:val="nil"/>
            </w:tcBorders>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2367" w:type="dxa"/>
            <w:gridSpan w:val="2"/>
            <w:tcBorders>
              <w:top w:val="nil"/>
              <w:left w:val="nil"/>
              <w:bottom w:val="nil"/>
              <w:right w:val="nil"/>
            </w:tcBorders>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Layout w:type="fixed"/>
          <w:tblCellMar>
            <w:top w:w="0" w:type="dxa"/>
            <w:left w:w="108" w:type="dxa"/>
            <w:bottom w:w="0" w:type="dxa"/>
            <w:right w:w="108" w:type="dxa"/>
          </w:tblCellMar>
        </w:tblPrEx>
        <w:trPr>
          <w:trHeight w:val="350" w:hRule="atLeast"/>
        </w:trPr>
        <w:tc>
          <w:tcPr>
            <w:tcW w:w="412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项目</w:t>
            </w:r>
          </w:p>
        </w:tc>
        <w:tc>
          <w:tcPr>
            <w:tcW w:w="4979"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一般公共预算基本支出</w:t>
            </w:r>
          </w:p>
        </w:tc>
      </w:tr>
      <w:tr>
        <w:tblPrEx>
          <w:tblLayout w:type="fixed"/>
          <w:tblCellMar>
            <w:top w:w="0" w:type="dxa"/>
            <w:left w:w="108" w:type="dxa"/>
            <w:bottom w:w="0" w:type="dxa"/>
            <w:right w:w="108" w:type="dxa"/>
          </w:tblCellMar>
        </w:tblPrEx>
        <w:trPr>
          <w:trHeight w:val="445" w:hRule="atLeast"/>
        </w:trPr>
        <w:tc>
          <w:tcPr>
            <w:tcW w:w="1301"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经济分类科目编码</w:t>
            </w:r>
          </w:p>
        </w:tc>
        <w:tc>
          <w:tcPr>
            <w:tcW w:w="28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经济分类科目名称</w:t>
            </w:r>
          </w:p>
        </w:tc>
        <w:tc>
          <w:tcPr>
            <w:tcW w:w="16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小计</w:t>
            </w:r>
          </w:p>
        </w:tc>
        <w:tc>
          <w:tcPr>
            <w:tcW w:w="16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人员经费</w:t>
            </w:r>
          </w:p>
        </w:tc>
        <w:tc>
          <w:tcPr>
            <w:tcW w:w="166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公用经费</w:t>
            </w:r>
          </w:p>
        </w:tc>
      </w:tr>
      <w:tr>
        <w:tblPrEx>
          <w:tblLayout w:type="fixed"/>
          <w:tblCellMar>
            <w:top w:w="0" w:type="dxa"/>
            <w:left w:w="108" w:type="dxa"/>
            <w:bottom w:w="0" w:type="dxa"/>
            <w:right w:w="108" w:type="dxa"/>
          </w:tblCellMar>
        </w:tblPrEx>
        <w:trPr>
          <w:trHeight w:val="243" w:hRule="atLeast"/>
        </w:trPr>
        <w:tc>
          <w:tcPr>
            <w:tcW w:w="73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类</w:t>
            </w:r>
          </w:p>
        </w:tc>
        <w:tc>
          <w:tcPr>
            <w:tcW w:w="563" w:type="dxa"/>
            <w:tcBorders>
              <w:top w:val="nil"/>
              <w:left w:val="nil"/>
              <w:bottom w:val="single" w:color="auto" w:sz="4" w:space="0"/>
              <w:right w:val="single" w:color="auto" w:sz="4" w:space="0"/>
            </w:tcBorders>
            <w:vAlign w:val="center"/>
          </w:tcPr>
          <w:p>
            <w:pPr>
              <w:widowControl/>
              <w:jc w:val="left"/>
              <w:rPr>
                <w:rFonts w:ascii="仿宋_GB2312" w:hAnsi="宋体" w:eastAsia="仿宋_GB2312"/>
                <w:b/>
                <w:bCs/>
                <w:color w:val="000000"/>
                <w:kern w:val="0"/>
                <w:sz w:val="20"/>
                <w:szCs w:val="20"/>
              </w:rPr>
            </w:pPr>
            <w:r>
              <w:rPr>
                <w:rFonts w:hint="eastAsia" w:ascii="仿宋_GB2312" w:hAnsi="宋体" w:eastAsia="仿宋_GB2312" w:cs="仿宋_GB2312"/>
                <w:b/>
                <w:bCs/>
                <w:color w:val="000000"/>
                <w:kern w:val="0"/>
                <w:sz w:val="20"/>
                <w:szCs w:val="20"/>
              </w:rPr>
              <w:t>款</w:t>
            </w:r>
          </w:p>
        </w:tc>
        <w:tc>
          <w:tcPr>
            <w:tcW w:w="28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0"/>
                <w:szCs w:val="20"/>
              </w:rPr>
            </w:pPr>
          </w:p>
        </w:tc>
        <w:tc>
          <w:tcPr>
            <w:tcW w:w="16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6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c>
          <w:tcPr>
            <w:tcW w:w="1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b/>
                <w:bCs/>
                <w:color w:val="000000"/>
                <w:kern w:val="0"/>
                <w:sz w:val="20"/>
                <w:szCs w:val="20"/>
              </w:rPr>
            </w:pP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301</w:t>
            </w:r>
          </w:p>
        </w:tc>
        <w:tc>
          <w:tcPr>
            <w:tcW w:w="563" w:type="dxa"/>
            <w:tcBorders>
              <w:top w:val="nil"/>
              <w:left w:val="nil"/>
              <w:bottom w:val="single" w:color="auto" w:sz="4" w:space="0"/>
              <w:right w:val="single" w:color="auto" w:sz="4" w:space="0"/>
            </w:tcBorders>
            <w:vAlign w:val="center"/>
          </w:tcPr>
          <w:p>
            <w:pPr>
              <w:rPr>
                <w:rFonts w:ascii="宋体"/>
                <w:sz w:val="18"/>
                <w:szCs w:val="18"/>
              </w:rPr>
            </w:pPr>
            <w:r>
              <w:rPr>
                <w:rFonts w:hint="eastAsia" w:cs="宋体"/>
                <w:sz w:val="18"/>
                <w:szCs w:val="18"/>
              </w:rPr>
              <w:t>　</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rFonts w:hint="eastAsia" w:cs="宋体"/>
                <w:sz w:val="18"/>
                <w:szCs w:val="18"/>
              </w:rPr>
              <w:t>工资福利支出</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1353.43</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1353.43</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301</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01</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基本工资</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393.07</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393.07</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301</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02</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津贴补贴</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451.74</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451.74</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301</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03</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奖金</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32.76</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32.76</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301</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04</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社会保障缴费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315.69</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315.69</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301</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08</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不随工资发放的津补贴</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48.60</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48.60</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301</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13</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住房公积金</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105.31</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105.31</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301</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99</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其他工资福利支出</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6.26</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6.26</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rFonts w:hint="eastAsia" w:cs="宋体"/>
                <w:sz w:val="18"/>
                <w:szCs w:val="18"/>
              </w:rPr>
              <w:t>　</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rFonts w:hint="eastAsia" w:cs="宋体"/>
                <w:sz w:val="18"/>
                <w:szCs w:val="18"/>
              </w:rPr>
              <w:t>商品和服务支出</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232.68</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232.68</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01</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办公费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120.39</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120.39</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05</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水电费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15.4</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15.4</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07</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邮电费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15.4</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15.4</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08</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取暖费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20.58</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20.58</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10</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交通费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20</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20</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11</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差旅费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13.48</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13.48</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28</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工会经费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12.92</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12.92</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29</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福利费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11.63</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11.63</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302</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30</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离退休人员活动费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2.88</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2.88</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303</w:t>
            </w:r>
          </w:p>
        </w:tc>
        <w:tc>
          <w:tcPr>
            <w:tcW w:w="563" w:type="dxa"/>
            <w:tcBorders>
              <w:top w:val="nil"/>
              <w:left w:val="nil"/>
              <w:bottom w:val="single" w:color="auto" w:sz="4" w:space="0"/>
              <w:right w:val="single" w:color="auto" w:sz="4" w:space="0"/>
            </w:tcBorders>
            <w:vAlign w:val="center"/>
          </w:tcPr>
          <w:p>
            <w:pPr>
              <w:rPr>
                <w:rFonts w:ascii="宋体"/>
                <w:sz w:val="18"/>
                <w:szCs w:val="18"/>
              </w:rPr>
            </w:pPr>
            <w:r>
              <w:rPr>
                <w:rFonts w:hint="eastAsia" w:cs="宋体"/>
                <w:sz w:val="18"/>
                <w:szCs w:val="18"/>
              </w:rPr>
              <w:t>　</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rFonts w:hint="eastAsia" w:cs="宋体"/>
                <w:sz w:val="18"/>
                <w:szCs w:val="18"/>
              </w:rPr>
              <w:t>对个人和家庭的补助</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105.26</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105.26</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303</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01</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离休费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32.33</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32.33</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303</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02</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退休费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33.13</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33.13</w:t>
            </w:r>
          </w:p>
        </w:tc>
        <w:tc>
          <w:tcPr>
            <w:tcW w:w="1661" w:type="dxa"/>
            <w:tcBorders>
              <w:top w:val="nil"/>
              <w:left w:val="nil"/>
              <w:bottom w:val="single" w:color="auto" w:sz="4" w:space="0"/>
              <w:right w:val="single" w:color="auto" w:sz="4" w:space="0"/>
            </w:tcBorders>
            <w:vAlign w:val="center"/>
          </w:tcPr>
          <w:p>
            <w:pPr>
              <w:jc w:val="right"/>
              <w:rPr>
                <w:rFonts w:ascii="宋体"/>
                <w:sz w:val="18"/>
                <w:szCs w:val="18"/>
              </w:rPr>
            </w:pPr>
            <w:r>
              <w:rPr>
                <w:rFonts w:hint="eastAsia" w:cs="宋体"/>
                <w:sz w:val="18"/>
                <w:szCs w:val="18"/>
              </w:rPr>
              <w:t>　</w:t>
            </w: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303</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05</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生活补助</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4.03</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4.03</w:t>
            </w:r>
          </w:p>
        </w:tc>
        <w:tc>
          <w:tcPr>
            <w:tcW w:w="1661" w:type="dxa"/>
            <w:tcBorders>
              <w:top w:val="nil"/>
              <w:left w:val="nil"/>
              <w:bottom w:val="single" w:color="auto" w:sz="4" w:space="0"/>
              <w:right w:val="single" w:color="auto" w:sz="4" w:space="0"/>
            </w:tcBorders>
            <w:vAlign w:val="center"/>
          </w:tcPr>
          <w:p>
            <w:pPr>
              <w:jc w:val="right"/>
              <w:rPr>
                <w:sz w:val="18"/>
                <w:szCs w:val="18"/>
              </w:rPr>
            </w:pP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303</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07</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医疗费</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2.4</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2.4</w:t>
            </w:r>
          </w:p>
        </w:tc>
        <w:tc>
          <w:tcPr>
            <w:tcW w:w="1661" w:type="dxa"/>
            <w:tcBorders>
              <w:top w:val="nil"/>
              <w:left w:val="nil"/>
              <w:bottom w:val="single" w:color="auto" w:sz="4" w:space="0"/>
              <w:right w:val="single" w:color="auto" w:sz="4" w:space="0"/>
            </w:tcBorders>
            <w:vAlign w:val="center"/>
          </w:tcPr>
          <w:p>
            <w:pPr>
              <w:jc w:val="right"/>
              <w:rPr>
                <w:sz w:val="18"/>
                <w:szCs w:val="18"/>
              </w:rPr>
            </w:pP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303</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14</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不随工资发放的津补贴</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33.28</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33.28</w:t>
            </w:r>
          </w:p>
        </w:tc>
        <w:tc>
          <w:tcPr>
            <w:tcW w:w="1661" w:type="dxa"/>
            <w:tcBorders>
              <w:top w:val="nil"/>
              <w:left w:val="nil"/>
              <w:bottom w:val="single" w:color="auto" w:sz="4" w:space="0"/>
              <w:right w:val="single" w:color="auto" w:sz="4" w:space="0"/>
            </w:tcBorders>
            <w:vAlign w:val="center"/>
          </w:tcPr>
          <w:p>
            <w:pPr>
              <w:jc w:val="right"/>
              <w:rPr>
                <w:sz w:val="18"/>
                <w:szCs w:val="18"/>
              </w:rPr>
            </w:pP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rPr>
                <w:rFonts w:ascii="宋体"/>
                <w:sz w:val="18"/>
                <w:szCs w:val="18"/>
              </w:rPr>
            </w:pPr>
            <w:r>
              <w:rPr>
                <w:sz w:val="18"/>
                <w:szCs w:val="18"/>
              </w:rPr>
              <w:t xml:space="preserve">  303</w:t>
            </w:r>
          </w:p>
        </w:tc>
        <w:tc>
          <w:tcPr>
            <w:tcW w:w="563" w:type="dxa"/>
            <w:tcBorders>
              <w:top w:val="nil"/>
              <w:left w:val="nil"/>
              <w:bottom w:val="single" w:color="auto" w:sz="4" w:space="0"/>
              <w:right w:val="single" w:color="auto" w:sz="4" w:space="0"/>
            </w:tcBorders>
            <w:vAlign w:val="center"/>
          </w:tcPr>
          <w:p>
            <w:pPr>
              <w:rPr>
                <w:rFonts w:ascii="宋体"/>
                <w:sz w:val="18"/>
                <w:szCs w:val="18"/>
              </w:rPr>
            </w:pPr>
            <w:r>
              <w:rPr>
                <w:sz w:val="18"/>
                <w:szCs w:val="18"/>
              </w:rPr>
              <w:t>99</w:t>
            </w:r>
          </w:p>
        </w:tc>
        <w:tc>
          <w:tcPr>
            <w:tcW w:w="2820" w:type="dxa"/>
            <w:tcBorders>
              <w:top w:val="nil"/>
              <w:left w:val="nil"/>
              <w:bottom w:val="single" w:color="auto" w:sz="4" w:space="0"/>
              <w:right w:val="single" w:color="auto" w:sz="4" w:space="0"/>
            </w:tcBorders>
            <w:vAlign w:val="center"/>
          </w:tcPr>
          <w:p>
            <w:pPr>
              <w:rPr>
                <w:rFonts w:ascii="宋体"/>
                <w:sz w:val="18"/>
                <w:szCs w:val="18"/>
              </w:rPr>
            </w:pPr>
            <w:r>
              <w:rPr>
                <w:sz w:val="18"/>
                <w:szCs w:val="18"/>
              </w:rPr>
              <w:t xml:space="preserve">  </w:t>
            </w:r>
            <w:r>
              <w:rPr>
                <w:rFonts w:hint="eastAsia" w:cs="宋体"/>
                <w:sz w:val="18"/>
                <w:szCs w:val="18"/>
              </w:rPr>
              <w:t>其他对个人和家庭的补助支出</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0.09</w:t>
            </w:r>
          </w:p>
        </w:tc>
        <w:tc>
          <w:tcPr>
            <w:tcW w:w="1659" w:type="dxa"/>
            <w:gridSpan w:val="2"/>
            <w:tcBorders>
              <w:top w:val="nil"/>
              <w:left w:val="nil"/>
              <w:bottom w:val="single" w:color="auto" w:sz="4" w:space="0"/>
              <w:right w:val="single" w:color="auto" w:sz="4" w:space="0"/>
            </w:tcBorders>
            <w:vAlign w:val="center"/>
          </w:tcPr>
          <w:p>
            <w:pPr>
              <w:jc w:val="right"/>
              <w:rPr>
                <w:rFonts w:ascii="宋体"/>
                <w:sz w:val="18"/>
                <w:szCs w:val="18"/>
              </w:rPr>
            </w:pPr>
            <w:r>
              <w:rPr>
                <w:sz w:val="18"/>
                <w:szCs w:val="18"/>
              </w:rPr>
              <w:t>0.09</w:t>
            </w:r>
          </w:p>
        </w:tc>
        <w:tc>
          <w:tcPr>
            <w:tcW w:w="1661" w:type="dxa"/>
            <w:tcBorders>
              <w:top w:val="nil"/>
              <w:left w:val="nil"/>
              <w:bottom w:val="single" w:color="auto" w:sz="4" w:space="0"/>
              <w:right w:val="single" w:color="auto" w:sz="4" w:space="0"/>
            </w:tcBorders>
            <w:vAlign w:val="center"/>
          </w:tcPr>
          <w:p>
            <w:pPr>
              <w:jc w:val="right"/>
              <w:rPr>
                <w:sz w:val="18"/>
                <w:szCs w:val="18"/>
              </w:rPr>
            </w:pPr>
          </w:p>
        </w:tc>
      </w:tr>
      <w:tr>
        <w:tblPrEx>
          <w:tblLayout w:type="fixed"/>
          <w:tblCellMar>
            <w:top w:w="0" w:type="dxa"/>
            <w:left w:w="108" w:type="dxa"/>
            <w:bottom w:w="0" w:type="dxa"/>
            <w:right w:w="108" w:type="dxa"/>
          </w:tblCellMar>
        </w:tblPrEx>
        <w:trPr>
          <w:trHeight w:val="362" w:hRule="atLeast"/>
        </w:trPr>
        <w:tc>
          <w:tcPr>
            <w:tcW w:w="738"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563" w:type="dxa"/>
            <w:tcBorders>
              <w:top w:val="nil"/>
              <w:left w:val="nil"/>
              <w:bottom w:val="single" w:color="auto" w:sz="4" w:space="0"/>
              <w:right w:val="single" w:color="auto" w:sz="4" w:space="0"/>
            </w:tcBorders>
            <w:vAlign w:val="center"/>
          </w:tcPr>
          <w:p>
            <w:pPr>
              <w:widowControl/>
              <w:jc w:val="left"/>
              <w:rPr>
                <w:rFonts w:ascii="宋体"/>
                <w:color w:val="000000"/>
                <w:kern w:val="0"/>
                <w:sz w:val="20"/>
                <w:szCs w:val="20"/>
              </w:rPr>
            </w:pPr>
            <w:r>
              <w:rPr>
                <w:rFonts w:hint="eastAsia" w:ascii="宋体" w:hAnsi="宋体" w:cs="宋体"/>
                <w:color w:val="000000"/>
                <w:kern w:val="0"/>
                <w:sz w:val="20"/>
                <w:szCs w:val="20"/>
              </w:rPr>
              <w:t>　</w:t>
            </w:r>
          </w:p>
        </w:tc>
        <w:tc>
          <w:tcPr>
            <w:tcW w:w="2820" w:type="dxa"/>
            <w:tcBorders>
              <w:top w:val="nil"/>
              <w:left w:val="nil"/>
              <w:bottom w:val="single" w:color="auto" w:sz="4" w:space="0"/>
              <w:right w:val="single" w:color="auto" w:sz="4" w:space="0"/>
            </w:tcBorders>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合计</w:t>
            </w:r>
          </w:p>
        </w:tc>
        <w:tc>
          <w:tcPr>
            <w:tcW w:w="1659" w:type="dxa"/>
            <w:gridSpan w:val="2"/>
            <w:tcBorders>
              <w:top w:val="nil"/>
              <w:left w:val="nil"/>
              <w:bottom w:val="single" w:color="auto" w:sz="4" w:space="0"/>
              <w:right w:val="single" w:color="auto" w:sz="4" w:space="0"/>
            </w:tcBorders>
            <w:vAlign w:val="center"/>
          </w:tcPr>
          <w:p>
            <w:pPr>
              <w:jc w:val="right"/>
              <w:rPr>
                <w:sz w:val="18"/>
                <w:szCs w:val="18"/>
              </w:rPr>
            </w:pPr>
            <w:r>
              <w:rPr>
                <w:sz w:val="18"/>
                <w:szCs w:val="18"/>
              </w:rPr>
              <w:t>1691.37</w:t>
            </w:r>
          </w:p>
        </w:tc>
        <w:tc>
          <w:tcPr>
            <w:tcW w:w="1659" w:type="dxa"/>
            <w:gridSpan w:val="2"/>
            <w:tcBorders>
              <w:top w:val="nil"/>
              <w:left w:val="nil"/>
              <w:bottom w:val="single" w:color="auto" w:sz="4" w:space="0"/>
              <w:right w:val="single" w:color="auto" w:sz="4" w:space="0"/>
            </w:tcBorders>
            <w:vAlign w:val="center"/>
          </w:tcPr>
          <w:p>
            <w:pPr>
              <w:jc w:val="right"/>
              <w:rPr>
                <w:sz w:val="18"/>
                <w:szCs w:val="18"/>
              </w:rPr>
            </w:pPr>
            <w:r>
              <w:rPr>
                <w:sz w:val="18"/>
                <w:szCs w:val="18"/>
              </w:rPr>
              <w:t>1458.69</w:t>
            </w:r>
          </w:p>
        </w:tc>
        <w:tc>
          <w:tcPr>
            <w:tcW w:w="1661" w:type="dxa"/>
            <w:tcBorders>
              <w:top w:val="nil"/>
              <w:left w:val="nil"/>
              <w:bottom w:val="single" w:color="auto" w:sz="4" w:space="0"/>
              <w:right w:val="single" w:color="auto" w:sz="4" w:space="0"/>
            </w:tcBorders>
            <w:vAlign w:val="center"/>
          </w:tcPr>
          <w:p>
            <w:pPr>
              <w:jc w:val="right"/>
              <w:rPr>
                <w:sz w:val="18"/>
                <w:szCs w:val="18"/>
              </w:rPr>
            </w:pPr>
            <w:r>
              <w:rPr>
                <w:sz w:val="18"/>
                <w:szCs w:val="18"/>
              </w:rPr>
              <w:t>232.68</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表七：</w:t>
      </w:r>
    </w:p>
    <w:tbl>
      <w:tblPr>
        <w:tblStyle w:val="10"/>
        <w:tblW w:w="9682" w:type="dxa"/>
        <w:tblInd w:w="-106" w:type="dxa"/>
        <w:tblLayout w:type="fixed"/>
        <w:tblCellMar>
          <w:top w:w="0" w:type="dxa"/>
          <w:left w:w="108" w:type="dxa"/>
          <w:bottom w:w="0" w:type="dxa"/>
          <w:right w:w="108" w:type="dxa"/>
        </w:tblCellMar>
      </w:tblPr>
      <w:tblGrid>
        <w:gridCol w:w="8"/>
        <w:gridCol w:w="543"/>
        <w:gridCol w:w="450"/>
        <w:gridCol w:w="525"/>
        <w:gridCol w:w="810"/>
        <w:gridCol w:w="1162"/>
        <w:gridCol w:w="656"/>
        <w:gridCol w:w="204"/>
        <w:gridCol w:w="459"/>
        <w:gridCol w:w="536"/>
        <w:gridCol w:w="652"/>
        <w:gridCol w:w="652"/>
        <w:gridCol w:w="378"/>
        <w:gridCol w:w="200"/>
        <w:gridCol w:w="419"/>
        <w:gridCol w:w="578"/>
        <w:gridCol w:w="420"/>
        <w:gridCol w:w="420"/>
        <w:gridCol w:w="389"/>
        <w:gridCol w:w="221"/>
      </w:tblGrid>
      <w:tr>
        <w:tblPrEx>
          <w:tblLayout w:type="fixed"/>
          <w:tblCellMar>
            <w:top w:w="0" w:type="dxa"/>
            <w:left w:w="108" w:type="dxa"/>
            <w:bottom w:w="0" w:type="dxa"/>
            <w:right w:w="108" w:type="dxa"/>
          </w:tblCellMar>
        </w:tblPrEx>
        <w:trPr>
          <w:gridBefore w:val="1"/>
          <w:gridAfter w:val="1"/>
          <w:wBefore w:w="8" w:type="dxa"/>
          <w:wAfter w:w="221"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221"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编制部门：</w:t>
            </w:r>
            <w:r>
              <w:rPr>
                <w:rFonts w:hint="eastAsia" w:ascii="宋体" w:hAnsi="宋体" w:cs="宋体"/>
                <w:sz w:val="15"/>
                <w:szCs w:val="15"/>
              </w:rPr>
              <w:t>新疆维吾尔自治区人民检察院和田分院</w:t>
            </w:r>
          </w:p>
        </w:tc>
        <w:tc>
          <w:tcPr>
            <w:tcW w:w="995" w:type="dxa"/>
            <w:gridSpan w:val="2"/>
            <w:tcBorders>
              <w:top w:val="nil"/>
              <w:left w:val="nil"/>
              <w:bottom w:val="nil"/>
              <w:right w:val="nil"/>
            </w:tcBorders>
            <w:vAlign w:val="center"/>
          </w:tcPr>
          <w:p>
            <w:pPr>
              <w:widowControl/>
              <w:jc w:val="left"/>
              <w:rPr>
                <w:rFonts w:ascii="仿宋_GB2312" w:hAnsi="宋体" w:eastAsia="仿宋_GB2312"/>
                <w:color w:val="000000"/>
                <w:kern w:val="0"/>
                <w:sz w:val="24"/>
                <w:szCs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 xml:space="preserve">      </w:t>
            </w:r>
          </w:p>
        </w:tc>
        <w:tc>
          <w:tcPr>
            <w:tcW w:w="2426" w:type="dxa"/>
            <w:gridSpan w:val="6"/>
            <w:tcBorders>
              <w:top w:val="nil"/>
              <w:left w:val="nil"/>
              <w:bottom w:val="nil"/>
              <w:right w:val="nil"/>
            </w:tcBorders>
            <w:vAlign w:val="center"/>
          </w:tcPr>
          <w:p>
            <w:pPr>
              <w:widowControl/>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26" w:type="dxa"/>
            <w:gridSpan w:val="4"/>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科</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目</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编</w:t>
            </w:r>
            <w:r>
              <w:rPr>
                <w:rFonts w:ascii="仿宋_GB2312" w:hAnsi="宋体" w:eastAsia="仿宋_GB2312" w:cs="仿宋_GB2312"/>
                <w:b/>
                <w:bCs/>
                <w:kern w:val="0"/>
                <w:sz w:val="18"/>
                <w:szCs w:val="18"/>
              </w:rPr>
              <w:t xml:space="preserve"> </w:t>
            </w:r>
            <w:r>
              <w:rPr>
                <w:rFonts w:hint="eastAsia" w:ascii="仿宋_GB2312" w:hAnsi="宋体" w:eastAsia="仿宋_GB2312" w:cs="仿宋_GB2312"/>
                <w:b/>
                <w:bCs/>
                <w:kern w:val="0"/>
                <w:sz w:val="18"/>
                <w:szCs w:val="18"/>
              </w:rPr>
              <w:t>码</w:t>
            </w:r>
          </w:p>
        </w:tc>
        <w:tc>
          <w:tcPr>
            <w:tcW w:w="81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科目</w:t>
            </w:r>
          </w:p>
        </w:tc>
        <w:tc>
          <w:tcPr>
            <w:tcW w:w="1162" w:type="dxa"/>
            <w:vMerge w:val="restart"/>
            <w:vAlign w:val="center"/>
          </w:tcPr>
          <w:p>
            <w:pPr>
              <w:jc w:val="center"/>
              <w:rPr>
                <w:rFonts w:ascii="Calibri" w:hAnsi="Calibri" w:cs="Calibri"/>
                <w:sz w:val="24"/>
                <w:szCs w:val="24"/>
              </w:rPr>
            </w:pPr>
            <w:r>
              <w:rPr>
                <w:rFonts w:hint="eastAsia" w:ascii="仿宋_GB2312" w:hAnsi="宋体" w:eastAsia="仿宋_GB2312" w:cs="仿宋_GB2312"/>
                <w:b/>
                <w:bCs/>
                <w:kern w:val="0"/>
                <w:sz w:val="24"/>
                <w:szCs w:val="24"/>
              </w:rPr>
              <w:t>项目名称</w:t>
            </w:r>
          </w:p>
        </w:tc>
        <w:tc>
          <w:tcPr>
            <w:tcW w:w="656"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项目支出合计</w:t>
            </w:r>
          </w:p>
        </w:tc>
        <w:tc>
          <w:tcPr>
            <w:tcW w:w="663"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工资福利支出</w:t>
            </w:r>
          </w:p>
        </w:tc>
        <w:tc>
          <w:tcPr>
            <w:tcW w:w="536"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资本性支出</w:t>
            </w:r>
          </w:p>
        </w:tc>
        <w:tc>
          <w:tcPr>
            <w:tcW w:w="578"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对企业补助</w:t>
            </w:r>
          </w:p>
        </w:tc>
        <w:tc>
          <w:tcPr>
            <w:tcW w:w="420" w:type="dxa"/>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对社会保障基金补助</w:t>
            </w:r>
          </w:p>
        </w:tc>
        <w:tc>
          <w:tcPr>
            <w:tcW w:w="610" w:type="dxa"/>
            <w:gridSpan w:val="2"/>
            <w:vMerge w:val="restart"/>
            <w:vAlign w:val="center"/>
          </w:tcPr>
          <w:p>
            <w:pPr>
              <w:widowControl/>
              <w:jc w:val="center"/>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51" w:type="dxa"/>
            <w:gridSpan w:val="2"/>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类</w:t>
            </w:r>
          </w:p>
        </w:tc>
        <w:tc>
          <w:tcPr>
            <w:tcW w:w="450" w:type="dxa"/>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款</w:t>
            </w:r>
          </w:p>
        </w:tc>
        <w:tc>
          <w:tcPr>
            <w:tcW w:w="525" w:type="dxa"/>
            <w:vAlign w:val="center"/>
          </w:tcPr>
          <w:p>
            <w:pPr>
              <w:widowControl/>
              <w:jc w:val="left"/>
              <w:outlineLvl w:val="1"/>
              <w:rPr>
                <w:rFonts w:ascii="仿宋_GB2312" w:hAnsi="宋体" w:eastAsia="仿宋_GB2312"/>
                <w:b/>
                <w:bCs/>
                <w:kern w:val="0"/>
                <w:sz w:val="18"/>
                <w:szCs w:val="18"/>
              </w:rPr>
            </w:pPr>
            <w:r>
              <w:rPr>
                <w:rFonts w:hint="eastAsia" w:ascii="仿宋_GB2312" w:hAnsi="宋体" w:eastAsia="仿宋_GB2312" w:cs="仿宋_GB2312"/>
                <w:b/>
                <w:bCs/>
                <w:kern w:val="0"/>
                <w:sz w:val="18"/>
                <w:szCs w:val="18"/>
              </w:rPr>
              <w:t>项</w:t>
            </w:r>
          </w:p>
        </w:tc>
        <w:tc>
          <w:tcPr>
            <w:tcW w:w="810" w:type="dxa"/>
            <w:vMerge w:val="continue"/>
            <w:vAlign w:val="center"/>
          </w:tcPr>
          <w:p>
            <w:pPr>
              <w:widowControl/>
              <w:jc w:val="left"/>
              <w:outlineLvl w:val="1"/>
              <w:rPr>
                <w:rFonts w:ascii="仿宋_GB2312" w:hAnsi="宋体" w:eastAsia="仿宋_GB2312"/>
                <w:b/>
                <w:bCs/>
                <w:kern w:val="0"/>
                <w:sz w:val="18"/>
                <w:szCs w:val="18"/>
              </w:rPr>
            </w:pPr>
          </w:p>
        </w:tc>
        <w:tc>
          <w:tcPr>
            <w:tcW w:w="1162" w:type="dxa"/>
            <w:vMerge w:val="continue"/>
          </w:tcPr>
          <w:p>
            <w:pPr>
              <w:widowControl/>
              <w:jc w:val="left"/>
              <w:outlineLvl w:val="1"/>
              <w:rPr>
                <w:rFonts w:ascii="仿宋_GB2312" w:hAnsi="宋体" w:eastAsia="仿宋_GB2312"/>
                <w:b/>
                <w:bCs/>
                <w:kern w:val="0"/>
                <w:sz w:val="18"/>
                <w:szCs w:val="18"/>
              </w:rPr>
            </w:pPr>
          </w:p>
        </w:tc>
        <w:tc>
          <w:tcPr>
            <w:tcW w:w="656" w:type="dxa"/>
            <w:vMerge w:val="continue"/>
          </w:tcPr>
          <w:p>
            <w:pPr>
              <w:widowControl/>
              <w:jc w:val="left"/>
              <w:outlineLvl w:val="1"/>
              <w:rPr>
                <w:rFonts w:ascii="仿宋_GB2312" w:hAnsi="宋体" w:eastAsia="仿宋_GB2312"/>
                <w:b/>
                <w:bCs/>
                <w:kern w:val="0"/>
                <w:sz w:val="18"/>
                <w:szCs w:val="18"/>
              </w:rPr>
            </w:pPr>
          </w:p>
        </w:tc>
        <w:tc>
          <w:tcPr>
            <w:tcW w:w="663" w:type="dxa"/>
            <w:gridSpan w:val="2"/>
            <w:vMerge w:val="continue"/>
          </w:tcPr>
          <w:p>
            <w:pPr>
              <w:widowControl/>
              <w:jc w:val="left"/>
              <w:outlineLvl w:val="1"/>
              <w:rPr>
                <w:rFonts w:ascii="仿宋_GB2312" w:hAnsi="宋体" w:eastAsia="仿宋_GB2312"/>
                <w:b/>
                <w:bCs/>
                <w:kern w:val="0"/>
                <w:sz w:val="18"/>
                <w:szCs w:val="18"/>
              </w:rPr>
            </w:pPr>
          </w:p>
        </w:tc>
        <w:tc>
          <w:tcPr>
            <w:tcW w:w="536" w:type="dxa"/>
            <w:vMerge w:val="continue"/>
          </w:tcPr>
          <w:p>
            <w:pPr>
              <w:widowControl/>
              <w:jc w:val="left"/>
              <w:outlineLvl w:val="1"/>
              <w:rPr>
                <w:rFonts w:ascii="仿宋_GB2312" w:hAnsi="宋体" w:eastAsia="仿宋_GB2312"/>
                <w:b/>
                <w:bCs/>
                <w:kern w:val="0"/>
                <w:sz w:val="18"/>
                <w:szCs w:val="18"/>
              </w:rPr>
            </w:pPr>
          </w:p>
        </w:tc>
        <w:tc>
          <w:tcPr>
            <w:tcW w:w="652" w:type="dxa"/>
            <w:vMerge w:val="continue"/>
          </w:tcPr>
          <w:p>
            <w:pPr>
              <w:widowControl/>
              <w:jc w:val="left"/>
              <w:outlineLvl w:val="1"/>
              <w:rPr>
                <w:rFonts w:ascii="仿宋_GB2312" w:hAnsi="宋体" w:eastAsia="仿宋_GB2312"/>
                <w:b/>
                <w:bCs/>
                <w:kern w:val="0"/>
                <w:sz w:val="18"/>
                <w:szCs w:val="18"/>
              </w:rPr>
            </w:pPr>
          </w:p>
        </w:tc>
        <w:tc>
          <w:tcPr>
            <w:tcW w:w="652" w:type="dxa"/>
            <w:vMerge w:val="continue"/>
          </w:tcPr>
          <w:p>
            <w:pPr>
              <w:widowControl/>
              <w:jc w:val="left"/>
              <w:outlineLvl w:val="1"/>
              <w:rPr>
                <w:rFonts w:ascii="仿宋_GB2312" w:hAnsi="宋体" w:eastAsia="仿宋_GB2312"/>
                <w:b/>
                <w:bCs/>
                <w:kern w:val="0"/>
                <w:sz w:val="18"/>
                <w:szCs w:val="18"/>
              </w:rPr>
            </w:pPr>
          </w:p>
        </w:tc>
        <w:tc>
          <w:tcPr>
            <w:tcW w:w="578" w:type="dxa"/>
            <w:gridSpan w:val="2"/>
            <w:vMerge w:val="continue"/>
          </w:tcPr>
          <w:p>
            <w:pPr>
              <w:widowControl/>
              <w:jc w:val="left"/>
              <w:outlineLvl w:val="1"/>
              <w:rPr>
                <w:rFonts w:ascii="仿宋_GB2312" w:hAnsi="宋体" w:eastAsia="仿宋_GB2312"/>
                <w:b/>
                <w:bCs/>
                <w:kern w:val="0"/>
                <w:sz w:val="18"/>
                <w:szCs w:val="18"/>
              </w:rPr>
            </w:pPr>
          </w:p>
        </w:tc>
        <w:tc>
          <w:tcPr>
            <w:tcW w:w="419" w:type="dxa"/>
            <w:vMerge w:val="continue"/>
          </w:tcPr>
          <w:p>
            <w:pPr>
              <w:widowControl/>
              <w:jc w:val="left"/>
              <w:outlineLvl w:val="1"/>
              <w:rPr>
                <w:rFonts w:ascii="仿宋_GB2312" w:hAnsi="宋体" w:eastAsia="仿宋_GB2312"/>
                <w:b/>
                <w:bCs/>
                <w:kern w:val="0"/>
                <w:sz w:val="18"/>
                <w:szCs w:val="18"/>
              </w:rPr>
            </w:pPr>
          </w:p>
        </w:tc>
        <w:tc>
          <w:tcPr>
            <w:tcW w:w="578" w:type="dxa"/>
            <w:vMerge w:val="continue"/>
          </w:tcPr>
          <w:p>
            <w:pPr>
              <w:widowControl/>
              <w:jc w:val="left"/>
              <w:outlineLvl w:val="1"/>
              <w:rPr>
                <w:rFonts w:ascii="仿宋_GB2312" w:hAnsi="宋体" w:eastAsia="仿宋_GB2312"/>
                <w:b/>
                <w:bCs/>
                <w:kern w:val="0"/>
                <w:sz w:val="18"/>
                <w:szCs w:val="18"/>
              </w:rPr>
            </w:pPr>
          </w:p>
        </w:tc>
        <w:tc>
          <w:tcPr>
            <w:tcW w:w="420" w:type="dxa"/>
            <w:vMerge w:val="continue"/>
          </w:tcPr>
          <w:p>
            <w:pPr>
              <w:widowControl/>
              <w:jc w:val="left"/>
              <w:outlineLvl w:val="1"/>
              <w:rPr>
                <w:rFonts w:ascii="仿宋_GB2312" w:hAnsi="宋体" w:eastAsia="仿宋_GB2312"/>
                <w:b/>
                <w:bCs/>
                <w:kern w:val="0"/>
                <w:sz w:val="18"/>
                <w:szCs w:val="18"/>
              </w:rPr>
            </w:pPr>
          </w:p>
        </w:tc>
        <w:tc>
          <w:tcPr>
            <w:tcW w:w="420" w:type="dxa"/>
            <w:vMerge w:val="continue"/>
          </w:tcPr>
          <w:p>
            <w:pPr>
              <w:widowControl/>
              <w:jc w:val="left"/>
              <w:outlineLvl w:val="1"/>
              <w:rPr>
                <w:rFonts w:ascii="仿宋_GB2312" w:hAnsi="宋体" w:eastAsia="仿宋_GB2312"/>
                <w:b/>
                <w:bCs/>
                <w:kern w:val="0"/>
                <w:sz w:val="18"/>
                <w:szCs w:val="18"/>
              </w:rPr>
            </w:pPr>
          </w:p>
        </w:tc>
        <w:tc>
          <w:tcPr>
            <w:tcW w:w="610" w:type="dxa"/>
            <w:gridSpan w:val="2"/>
            <w:vMerge w:val="continue"/>
          </w:tcPr>
          <w:p>
            <w:pPr>
              <w:widowControl/>
              <w:jc w:val="left"/>
              <w:outlineLvl w:val="1"/>
              <w:rPr>
                <w:rFonts w:ascii="仿宋_GB2312" w:hAnsi="宋体" w:eastAsia="仿宋_GB2312"/>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vAlign w:val="center"/>
          </w:tcPr>
          <w:p>
            <w:pPr>
              <w:rPr>
                <w:rFonts w:ascii="宋体"/>
                <w:sz w:val="18"/>
                <w:szCs w:val="18"/>
              </w:rPr>
            </w:pPr>
            <w:r>
              <w:rPr>
                <w:rFonts w:hint="eastAsia" w:cs="宋体"/>
                <w:sz w:val="18"/>
                <w:szCs w:val="18"/>
              </w:rPr>
              <w:t>　</w:t>
            </w:r>
          </w:p>
        </w:tc>
        <w:tc>
          <w:tcPr>
            <w:tcW w:w="450" w:type="dxa"/>
            <w:vAlign w:val="center"/>
          </w:tcPr>
          <w:p>
            <w:pPr>
              <w:rPr>
                <w:rFonts w:ascii="宋体"/>
                <w:sz w:val="18"/>
                <w:szCs w:val="18"/>
              </w:rPr>
            </w:pPr>
            <w:r>
              <w:rPr>
                <w:rFonts w:hint="eastAsia" w:cs="宋体"/>
                <w:sz w:val="18"/>
                <w:szCs w:val="18"/>
              </w:rPr>
              <w:t>　</w:t>
            </w:r>
          </w:p>
        </w:tc>
        <w:tc>
          <w:tcPr>
            <w:tcW w:w="525" w:type="dxa"/>
            <w:vAlign w:val="center"/>
          </w:tcPr>
          <w:p>
            <w:pPr>
              <w:rPr>
                <w:rFonts w:ascii="宋体"/>
                <w:sz w:val="18"/>
                <w:szCs w:val="18"/>
              </w:rPr>
            </w:pPr>
            <w:r>
              <w:rPr>
                <w:rFonts w:hint="eastAsia" w:cs="宋体"/>
                <w:sz w:val="18"/>
                <w:szCs w:val="18"/>
              </w:rPr>
              <w:t>　</w:t>
            </w:r>
          </w:p>
        </w:tc>
        <w:tc>
          <w:tcPr>
            <w:tcW w:w="810" w:type="dxa"/>
            <w:vAlign w:val="center"/>
          </w:tcPr>
          <w:p>
            <w:pPr>
              <w:rPr>
                <w:rFonts w:ascii="宋体"/>
                <w:sz w:val="18"/>
                <w:szCs w:val="18"/>
              </w:rPr>
            </w:pPr>
            <w:r>
              <w:rPr>
                <w:rFonts w:hint="eastAsia" w:cs="宋体"/>
                <w:sz w:val="18"/>
                <w:szCs w:val="18"/>
              </w:rPr>
              <w:t>　</w:t>
            </w:r>
          </w:p>
        </w:tc>
        <w:tc>
          <w:tcPr>
            <w:tcW w:w="1162" w:type="dxa"/>
            <w:vAlign w:val="center"/>
          </w:tcPr>
          <w:p>
            <w:pPr>
              <w:rPr>
                <w:rFonts w:ascii="宋体"/>
                <w:sz w:val="18"/>
                <w:szCs w:val="18"/>
              </w:rPr>
            </w:pPr>
            <w:r>
              <w:rPr>
                <w:rFonts w:hint="eastAsia" w:cs="宋体"/>
                <w:sz w:val="18"/>
                <w:szCs w:val="18"/>
              </w:rPr>
              <w:t>合计</w:t>
            </w:r>
          </w:p>
        </w:tc>
        <w:tc>
          <w:tcPr>
            <w:tcW w:w="656" w:type="dxa"/>
            <w:vAlign w:val="center"/>
          </w:tcPr>
          <w:p>
            <w:pPr>
              <w:jc w:val="center"/>
              <w:rPr>
                <w:sz w:val="18"/>
                <w:szCs w:val="18"/>
              </w:rPr>
            </w:pPr>
            <w:r>
              <w:rPr>
                <w:sz w:val="18"/>
                <w:szCs w:val="18"/>
              </w:rPr>
              <w:t>161</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vAlign w:val="center"/>
          </w:tcPr>
          <w:p>
            <w:pPr>
              <w:jc w:val="center"/>
              <w:rPr>
                <w:sz w:val="18"/>
                <w:szCs w:val="18"/>
              </w:rPr>
            </w:pPr>
            <w:r>
              <w:rPr>
                <w:sz w:val="18"/>
                <w:szCs w:val="18"/>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vAlign w:val="center"/>
          </w:tcPr>
          <w:p>
            <w:pPr>
              <w:rPr>
                <w:rFonts w:ascii="宋体"/>
                <w:sz w:val="18"/>
                <w:szCs w:val="18"/>
              </w:rPr>
            </w:pPr>
            <w:r>
              <w:rPr>
                <w:sz w:val="18"/>
                <w:szCs w:val="18"/>
              </w:rPr>
              <w:t>204</w:t>
            </w:r>
          </w:p>
        </w:tc>
        <w:tc>
          <w:tcPr>
            <w:tcW w:w="450" w:type="dxa"/>
            <w:vAlign w:val="center"/>
          </w:tcPr>
          <w:p>
            <w:pPr>
              <w:rPr>
                <w:rFonts w:ascii="宋体"/>
                <w:sz w:val="18"/>
                <w:szCs w:val="18"/>
              </w:rPr>
            </w:pPr>
            <w:r>
              <w:rPr>
                <w:rFonts w:hint="eastAsia" w:cs="宋体"/>
                <w:sz w:val="18"/>
                <w:szCs w:val="18"/>
              </w:rPr>
              <w:t>　</w:t>
            </w:r>
          </w:p>
        </w:tc>
        <w:tc>
          <w:tcPr>
            <w:tcW w:w="525" w:type="dxa"/>
            <w:vAlign w:val="center"/>
          </w:tcPr>
          <w:p>
            <w:pPr>
              <w:rPr>
                <w:rFonts w:ascii="宋体"/>
                <w:sz w:val="18"/>
                <w:szCs w:val="18"/>
              </w:rPr>
            </w:pPr>
            <w:r>
              <w:rPr>
                <w:rFonts w:hint="eastAsia" w:cs="宋体"/>
                <w:sz w:val="18"/>
                <w:szCs w:val="18"/>
              </w:rPr>
              <w:t>　</w:t>
            </w:r>
          </w:p>
        </w:tc>
        <w:tc>
          <w:tcPr>
            <w:tcW w:w="810" w:type="dxa"/>
            <w:vAlign w:val="center"/>
          </w:tcPr>
          <w:p>
            <w:pPr>
              <w:jc w:val="center"/>
              <w:rPr>
                <w:rFonts w:ascii="宋体"/>
                <w:sz w:val="18"/>
                <w:szCs w:val="18"/>
              </w:rPr>
            </w:pPr>
            <w:r>
              <w:rPr>
                <w:rFonts w:hint="eastAsia" w:cs="宋体"/>
                <w:sz w:val="18"/>
                <w:szCs w:val="18"/>
              </w:rPr>
              <w:t>公共安全支出</w:t>
            </w:r>
          </w:p>
        </w:tc>
        <w:tc>
          <w:tcPr>
            <w:tcW w:w="1162" w:type="dxa"/>
            <w:vAlign w:val="center"/>
          </w:tcPr>
          <w:p>
            <w:pPr>
              <w:rPr>
                <w:rFonts w:ascii="宋体"/>
                <w:sz w:val="18"/>
                <w:szCs w:val="18"/>
              </w:rPr>
            </w:pPr>
            <w:r>
              <w:rPr>
                <w:rFonts w:hint="eastAsia" w:cs="宋体"/>
                <w:sz w:val="18"/>
                <w:szCs w:val="18"/>
              </w:rPr>
              <w:t>　</w:t>
            </w:r>
          </w:p>
        </w:tc>
        <w:tc>
          <w:tcPr>
            <w:tcW w:w="656" w:type="dxa"/>
            <w:vAlign w:val="center"/>
          </w:tcPr>
          <w:p>
            <w:pPr>
              <w:jc w:val="center"/>
              <w:rPr>
                <w:sz w:val="18"/>
                <w:szCs w:val="18"/>
              </w:rPr>
            </w:pPr>
            <w:r>
              <w:rPr>
                <w:sz w:val="18"/>
                <w:szCs w:val="18"/>
              </w:rPr>
              <w:t>161</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vAlign w:val="center"/>
          </w:tcPr>
          <w:p>
            <w:pPr>
              <w:jc w:val="center"/>
              <w:rPr>
                <w:sz w:val="18"/>
                <w:szCs w:val="18"/>
              </w:rPr>
            </w:pPr>
            <w:r>
              <w:rPr>
                <w:sz w:val="18"/>
                <w:szCs w:val="18"/>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vAlign w:val="center"/>
          </w:tcPr>
          <w:p>
            <w:pPr>
              <w:rPr>
                <w:rFonts w:ascii="宋体"/>
                <w:sz w:val="18"/>
                <w:szCs w:val="18"/>
              </w:rPr>
            </w:pPr>
            <w:r>
              <w:rPr>
                <w:rFonts w:hint="eastAsia" w:cs="宋体"/>
                <w:sz w:val="18"/>
                <w:szCs w:val="18"/>
              </w:rPr>
              <w:t>　</w:t>
            </w:r>
          </w:p>
        </w:tc>
        <w:tc>
          <w:tcPr>
            <w:tcW w:w="450" w:type="dxa"/>
            <w:vAlign w:val="center"/>
          </w:tcPr>
          <w:p>
            <w:pPr>
              <w:rPr>
                <w:rFonts w:ascii="宋体"/>
                <w:sz w:val="18"/>
                <w:szCs w:val="18"/>
              </w:rPr>
            </w:pPr>
            <w:r>
              <w:rPr>
                <w:sz w:val="18"/>
                <w:szCs w:val="18"/>
              </w:rPr>
              <w:t>04</w:t>
            </w:r>
          </w:p>
        </w:tc>
        <w:tc>
          <w:tcPr>
            <w:tcW w:w="525" w:type="dxa"/>
            <w:vAlign w:val="center"/>
          </w:tcPr>
          <w:p>
            <w:pPr>
              <w:rPr>
                <w:rFonts w:ascii="宋体"/>
                <w:sz w:val="18"/>
                <w:szCs w:val="18"/>
              </w:rPr>
            </w:pPr>
            <w:r>
              <w:rPr>
                <w:rFonts w:hint="eastAsia" w:cs="宋体"/>
                <w:sz w:val="18"/>
                <w:szCs w:val="18"/>
              </w:rPr>
              <w:t>　</w:t>
            </w:r>
          </w:p>
        </w:tc>
        <w:tc>
          <w:tcPr>
            <w:tcW w:w="810" w:type="dxa"/>
            <w:vAlign w:val="center"/>
          </w:tcPr>
          <w:p>
            <w:pPr>
              <w:jc w:val="center"/>
              <w:rPr>
                <w:rFonts w:ascii="宋体"/>
                <w:sz w:val="18"/>
                <w:szCs w:val="18"/>
              </w:rPr>
            </w:pPr>
            <w:r>
              <w:rPr>
                <w:rFonts w:hint="eastAsia" w:cs="宋体"/>
                <w:sz w:val="18"/>
                <w:szCs w:val="18"/>
              </w:rPr>
              <w:t>检察</w:t>
            </w:r>
          </w:p>
        </w:tc>
        <w:tc>
          <w:tcPr>
            <w:tcW w:w="1162" w:type="dxa"/>
            <w:vAlign w:val="center"/>
          </w:tcPr>
          <w:p>
            <w:pPr>
              <w:rPr>
                <w:rFonts w:ascii="宋体"/>
                <w:sz w:val="18"/>
                <w:szCs w:val="18"/>
              </w:rPr>
            </w:pPr>
            <w:r>
              <w:rPr>
                <w:rFonts w:hint="eastAsia" w:cs="宋体"/>
                <w:sz w:val="18"/>
                <w:szCs w:val="18"/>
              </w:rPr>
              <w:t>　</w:t>
            </w:r>
          </w:p>
        </w:tc>
        <w:tc>
          <w:tcPr>
            <w:tcW w:w="656" w:type="dxa"/>
            <w:vAlign w:val="center"/>
          </w:tcPr>
          <w:p>
            <w:pPr>
              <w:jc w:val="center"/>
              <w:rPr>
                <w:sz w:val="18"/>
                <w:szCs w:val="18"/>
              </w:rPr>
            </w:pPr>
            <w:r>
              <w:rPr>
                <w:sz w:val="18"/>
                <w:szCs w:val="18"/>
              </w:rPr>
              <w:t>161</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vAlign w:val="center"/>
          </w:tcPr>
          <w:p>
            <w:pPr>
              <w:jc w:val="center"/>
              <w:rPr>
                <w:sz w:val="18"/>
                <w:szCs w:val="18"/>
              </w:rPr>
            </w:pPr>
            <w:r>
              <w:rPr>
                <w:sz w:val="18"/>
                <w:szCs w:val="18"/>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vAlign w:val="center"/>
          </w:tcPr>
          <w:p>
            <w:pPr>
              <w:rPr>
                <w:rFonts w:ascii="宋体"/>
                <w:sz w:val="18"/>
                <w:szCs w:val="18"/>
              </w:rPr>
            </w:pPr>
            <w:r>
              <w:rPr>
                <w:sz w:val="18"/>
                <w:szCs w:val="18"/>
              </w:rPr>
              <w:t>204</w:t>
            </w:r>
          </w:p>
        </w:tc>
        <w:tc>
          <w:tcPr>
            <w:tcW w:w="450" w:type="dxa"/>
            <w:vAlign w:val="center"/>
          </w:tcPr>
          <w:p>
            <w:pPr>
              <w:rPr>
                <w:rFonts w:ascii="宋体"/>
                <w:sz w:val="18"/>
                <w:szCs w:val="18"/>
              </w:rPr>
            </w:pPr>
            <w:r>
              <w:rPr>
                <w:sz w:val="18"/>
                <w:szCs w:val="18"/>
              </w:rPr>
              <w:t>04</w:t>
            </w:r>
          </w:p>
        </w:tc>
        <w:tc>
          <w:tcPr>
            <w:tcW w:w="525" w:type="dxa"/>
            <w:vAlign w:val="center"/>
          </w:tcPr>
          <w:p>
            <w:pPr>
              <w:rPr>
                <w:rFonts w:ascii="宋体"/>
                <w:sz w:val="18"/>
                <w:szCs w:val="18"/>
              </w:rPr>
            </w:pPr>
            <w:r>
              <w:rPr>
                <w:sz w:val="18"/>
                <w:szCs w:val="18"/>
              </w:rPr>
              <w:t>99</w:t>
            </w:r>
          </w:p>
        </w:tc>
        <w:tc>
          <w:tcPr>
            <w:tcW w:w="810" w:type="dxa"/>
            <w:vAlign w:val="center"/>
          </w:tcPr>
          <w:p>
            <w:pPr>
              <w:jc w:val="center"/>
              <w:rPr>
                <w:rFonts w:ascii="宋体"/>
                <w:sz w:val="18"/>
                <w:szCs w:val="18"/>
              </w:rPr>
            </w:pPr>
            <w:r>
              <w:rPr>
                <w:rFonts w:hint="eastAsia" w:cs="宋体"/>
                <w:sz w:val="18"/>
                <w:szCs w:val="18"/>
              </w:rPr>
              <w:t>其他检察支出</w:t>
            </w:r>
          </w:p>
        </w:tc>
        <w:tc>
          <w:tcPr>
            <w:tcW w:w="1162" w:type="dxa"/>
            <w:vAlign w:val="center"/>
          </w:tcPr>
          <w:p>
            <w:pPr>
              <w:rPr>
                <w:rFonts w:ascii="宋体"/>
                <w:sz w:val="18"/>
                <w:szCs w:val="18"/>
              </w:rPr>
            </w:pPr>
            <w:r>
              <w:rPr>
                <w:rFonts w:hint="eastAsia" w:cs="宋体"/>
                <w:sz w:val="18"/>
                <w:szCs w:val="18"/>
              </w:rPr>
              <w:t>聘用</w:t>
            </w:r>
            <w:r>
              <w:rPr>
                <w:sz w:val="18"/>
                <w:szCs w:val="18"/>
              </w:rPr>
              <w:t>20</w:t>
            </w:r>
            <w:r>
              <w:rPr>
                <w:rFonts w:hint="eastAsia" w:cs="宋体"/>
                <w:sz w:val="18"/>
                <w:szCs w:val="18"/>
              </w:rPr>
              <w:t>人书记员工资</w:t>
            </w:r>
          </w:p>
        </w:tc>
        <w:tc>
          <w:tcPr>
            <w:tcW w:w="656" w:type="dxa"/>
            <w:vAlign w:val="center"/>
          </w:tcPr>
          <w:p>
            <w:pPr>
              <w:jc w:val="center"/>
              <w:rPr>
                <w:sz w:val="18"/>
                <w:szCs w:val="18"/>
              </w:rPr>
            </w:pPr>
            <w:r>
              <w:rPr>
                <w:sz w:val="18"/>
                <w:szCs w:val="18"/>
              </w:rPr>
              <w:t>161</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vAlign w:val="center"/>
          </w:tcPr>
          <w:p>
            <w:pPr>
              <w:jc w:val="center"/>
              <w:rPr>
                <w:sz w:val="18"/>
                <w:szCs w:val="18"/>
              </w:rPr>
            </w:pPr>
            <w:r>
              <w:rPr>
                <w:sz w:val="18"/>
                <w:szCs w:val="18"/>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p>
        </w:tc>
        <w:tc>
          <w:tcPr>
            <w:tcW w:w="450" w:type="dxa"/>
          </w:tcPr>
          <w:p>
            <w:pPr>
              <w:widowControl/>
              <w:jc w:val="left"/>
              <w:outlineLvl w:val="1"/>
              <w:rPr>
                <w:rFonts w:ascii="仿宋_GB2312" w:hAnsi="宋体" w:eastAsia="仿宋_GB2312"/>
                <w:kern w:val="0"/>
                <w:sz w:val="32"/>
                <w:szCs w:val="32"/>
              </w:rPr>
            </w:pPr>
          </w:p>
        </w:tc>
        <w:tc>
          <w:tcPr>
            <w:tcW w:w="525" w:type="dxa"/>
          </w:tcPr>
          <w:p>
            <w:pPr>
              <w:widowControl/>
              <w:jc w:val="left"/>
              <w:outlineLvl w:val="1"/>
              <w:rPr>
                <w:rFonts w:ascii="仿宋_GB2312" w:hAnsi="宋体" w:eastAsia="仿宋_GB2312"/>
                <w:kern w:val="0"/>
                <w:sz w:val="32"/>
                <w:szCs w:val="32"/>
              </w:rPr>
            </w:pPr>
          </w:p>
        </w:tc>
        <w:tc>
          <w:tcPr>
            <w:tcW w:w="810" w:type="dxa"/>
          </w:tcPr>
          <w:p>
            <w:pPr>
              <w:widowControl/>
              <w:jc w:val="left"/>
              <w:outlineLvl w:val="1"/>
              <w:rPr>
                <w:rFonts w:ascii="仿宋_GB2312" w:hAnsi="宋体" w:eastAsia="仿宋_GB2312"/>
                <w:kern w:val="0"/>
                <w:sz w:val="32"/>
                <w:szCs w:val="32"/>
              </w:rPr>
            </w:pPr>
          </w:p>
        </w:tc>
        <w:tc>
          <w:tcPr>
            <w:tcW w:w="1162" w:type="dxa"/>
          </w:tcPr>
          <w:p>
            <w:pPr>
              <w:widowControl/>
              <w:jc w:val="left"/>
              <w:outlineLvl w:val="1"/>
              <w:rPr>
                <w:rFonts w:ascii="仿宋_GB2312" w:hAnsi="宋体" w:eastAsia="仿宋_GB2312"/>
                <w:kern w:val="0"/>
                <w:sz w:val="32"/>
                <w:szCs w:val="32"/>
              </w:rPr>
            </w:pPr>
          </w:p>
        </w:tc>
        <w:tc>
          <w:tcPr>
            <w:tcW w:w="656" w:type="dxa"/>
          </w:tcPr>
          <w:p>
            <w:pPr>
              <w:widowControl/>
              <w:jc w:val="left"/>
              <w:outlineLvl w:val="1"/>
              <w:rPr>
                <w:rFonts w:ascii="仿宋_GB2312" w:hAnsi="宋体" w:eastAsia="仿宋_GB2312"/>
                <w:kern w:val="0"/>
                <w:sz w:val="32"/>
                <w:szCs w:val="32"/>
              </w:rPr>
            </w:pPr>
          </w:p>
        </w:tc>
        <w:tc>
          <w:tcPr>
            <w:tcW w:w="663"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610"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5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25"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81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116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63"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c>
          <w:tcPr>
            <w:tcW w:w="61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仿宋_GB2312"/>
                <w:kern w:val="0"/>
                <w:sz w:val="32"/>
                <w:szCs w:val="32"/>
              </w:rPr>
              <w:t>　</w:t>
            </w:r>
          </w:p>
        </w:tc>
      </w:tr>
    </w:tbl>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表八：</w:t>
      </w:r>
    </w:p>
    <w:p>
      <w:pPr>
        <w:widowControl/>
        <w:jc w:val="left"/>
        <w:outlineLvl w:val="1"/>
        <w:rPr>
          <w:rFonts w:ascii="仿宋_GB2312" w:hAnsi="宋体" w:eastAsia="仿宋_GB2312"/>
          <w:b/>
          <w:bCs/>
          <w:kern w:val="0"/>
          <w:sz w:val="32"/>
          <w:szCs w:val="32"/>
        </w:rPr>
      </w:pP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一般公共预算“三公”经费支出情况表</w:t>
      </w:r>
    </w:p>
    <w:p>
      <w:pPr>
        <w:widowControl/>
        <w:jc w:val="center"/>
        <w:outlineLvl w:val="1"/>
        <w:rPr>
          <w:rFonts w:ascii="仿宋_GB2312" w:hAnsi="宋体" w:eastAsia="仿宋_GB2312"/>
          <w:b/>
          <w:bCs/>
          <w:kern w:val="0"/>
          <w:sz w:val="32"/>
          <w:szCs w:val="32"/>
        </w:rPr>
      </w:pPr>
    </w:p>
    <w:p>
      <w:pPr>
        <w:widowControl/>
        <w:jc w:val="left"/>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编制单位：</w:t>
      </w:r>
      <w:r>
        <w:rPr>
          <w:rFonts w:hint="eastAsia" w:ascii="宋体" w:hAnsi="宋体" w:cs="宋体"/>
        </w:rPr>
        <w:t>新疆维吾尔自治区人民检察院和田分院</w:t>
      </w:r>
      <w:r>
        <w:rPr>
          <w:rFonts w:ascii="仿宋_GB2312" w:hAnsi="宋体" w:eastAsia="仿宋_GB2312" w:cs="仿宋_GB2312"/>
          <w:kern w:val="0"/>
          <w:sz w:val="32"/>
          <w:szCs w:val="32"/>
        </w:rPr>
        <w:t xml:space="preserve">    </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10"/>
        <w:tblW w:w="9240" w:type="dxa"/>
        <w:tblInd w:w="-106"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color w:val="000000"/>
                <w:kern w:val="0"/>
                <w:sz w:val="24"/>
                <w:szCs w:val="24"/>
              </w:rPr>
            </w:pPr>
            <w:r>
              <w:rPr>
                <w:rFonts w:hint="eastAsia" w:ascii="宋体" w:hAnsi="宋体" w:cs="宋体"/>
                <w:color w:val="000000"/>
                <w:kern w:val="0"/>
                <w:sz w:val="24"/>
                <w:szCs w:val="24"/>
              </w:rPr>
              <w:t>　</w:t>
            </w:r>
          </w:p>
        </w:tc>
      </w:tr>
    </w:tbl>
    <w:p>
      <w:pPr>
        <w:widowControl/>
        <w:jc w:val="left"/>
        <w:outlineLvl w:val="1"/>
        <w:rPr>
          <w:rFonts w:hint="default" w:ascii="仿宋_GB2312" w:hAnsi="宋体" w:eastAsia="仿宋_GB2312"/>
          <w:b/>
          <w:bCs/>
          <w:kern w:val="0"/>
          <w:sz w:val="32"/>
          <w:szCs w:val="32"/>
          <w:lang w:val="en-US" w:eastAsia="zh-CN"/>
        </w:rPr>
      </w:pPr>
      <w:r>
        <w:rPr>
          <w:rFonts w:hint="eastAsia" w:ascii="仿宋_GB2312" w:hAnsi="宋体" w:eastAsia="仿宋_GB2312"/>
          <w:b/>
          <w:bCs/>
          <w:kern w:val="0"/>
          <w:sz w:val="32"/>
          <w:szCs w:val="32"/>
          <w:lang w:val="en-US" w:eastAsia="zh-CN"/>
        </w:rPr>
        <w:t>备注：本单位不公开。</w:t>
      </w:r>
    </w:p>
    <w:p>
      <w:pPr>
        <w:widowControl/>
        <w:jc w:val="left"/>
        <w:outlineLvl w:val="1"/>
        <w:rPr>
          <w:rFonts w:ascii="仿宋_GB2312" w:hAnsi="宋体" w:eastAsia="仿宋_GB2312"/>
          <w:b/>
          <w:bCs/>
          <w:kern w:val="0"/>
          <w:sz w:val="32"/>
          <w:szCs w:val="32"/>
        </w:rPr>
      </w:pPr>
    </w:p>
    <w:p>
      <w:pPr>
        <w:widowControl/>
        <w:jc w:val="left"/>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表九：</w:t>
      </w:r>
    </w:p>
    <w:p>
      <w:pPr>
        <w:widowControl/>
        <w:jc w:val="center"/>
        <w:outlineLvl w:val="1"/>
        <w:rPr>
          <w:rFonts w:ascii="仿宋_GB2312" w:hAnsi="宋体" w:eastAsia="仿宋_GB2312"/>
          <w:b/>
          <w:bCs/>
          <w:kern w:val="0"/>
          <w:sz w:val="32"/>
          <w:szCs w:val="32"/>
        </w:rPr>
      </w:pPr>
      <w:r>
        <w:rPr>
          <w:rFonts w:hint="eastAsia" w:ascii="仿宋_GB2312" w:hAnsi="宋体" w:eastAsia="仿宋_GB2312" w:cs="仿宋_GB2312"/>
          <w:b/>
          <w:bCs/>
          <w:kern w:val="0"/>
          <w:sz w:val="32"/>
          <w:szCs w:val="32"/>
        </w:rPr>
        <w:t>政府性基金预算支出情况表</w:t>
      </w:r>
    </w:p>
    <w:p>
      <w:pPr>
        <w:widowControl/>
        <w:outlineLvl w:val="1"/>
        <w:rPr>
          <w:rFonts w:ascii="仿宋_GB2312" w:hAnsi="宋体" w:eastAsia="仿宋_GB2312"/>
          <w:kern w:val="0"/>
          <w:sz w:val="24"/>
          <w:szCs w:val="24"/>
        </w:rPr>
      </w:pPr>
      <w:r>
        <w:rPr>
          <w:rFonts w:hint="eastAsia" w:ascii="仿宋_GB2312" w:hAnsi="宋体" w:eastAsia="仿宋_GB2312" w:cs="仿宋_GB2312"/>
          <w:kern w:val="0"/>
          <w:sz w:val="24"/>
          <w:szCs w:val="24"/>
        </w:rPr>
        <w:t>编制单位：</w:t>
      </w:r>
      <w:r>
        <w:rPr>
          <w:rFonts w:hint="eastAsia" w:ascii="宋体" w:hAnsi="宋体" w:cs="宋体"/>
        </w:rPr>
        <w:t>新疆维吾尔自治区人民检察院和田分院</w:t>
      </w:r>
      <w:r>
        <w:rPr>
          <w:rFonts w:ascii="仿宋_GB2312" w:hAnsi="宋体" w:eastAsia="仿宋_GB2312" w:cs="仿宋_GB2312"/>
          <w:kern w:val="0"/>
          <w:sz w:val="32"/>
          <w:szCs w:val="32"/>
        </w:rPr>
        <w:t xml:space="preserve">  </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单位：万元</w:t>
      </w:r>
    </w:p>
    <w:tbl>
      <w:tblPr>
        <w:tblStyle w:val="10"/>
        <w:tblW w:w="9214" w:type="dxa"/>
        <w:tblInd w:w="-106"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w:t>
            </w:r>
            <w:r>
              <w:rPr>
                <w:rFonts w:ascii="仿宋_GB2312" w:hAnsi="宋体" w:eastAsia="仿宋_GB2312" w:cs="仿宋_GB2312"/>
                <w:b/>
                <w:bCs/>
                <w:color w:val="000000"/>
                <w:kern w:val="0"/>
                <w:sz w:val="24"/>
                <w:szCs w:val="24"/>
              </w:rPr>
              <w:t xml:space="preserve">  </w:t>
            </w:r>
            <w:r>
              <w:rPr>
                <w:rFonts w:hint="eastAsia" w:ascii="仿宋_GB2312" w:hAnsi="宋体" w:eastAsia="仿宋_GB2312" w:cs="仿宋_GB2312"/>
                <w:b/>
                <w:bCs/>
                <w:color w:val="000000"/>
                <w:kern w:val="0"/>
                <w:sz w:val="24"/>
                <w:szCs w:val="24"/>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18"/>
                <w:szCs w:val="18"/>
              </w:rPr>
            </w:pPr>
            <w:r>
              <w:rPr>
                <w:rFonts w:hint="eastAsia" w:ascii="仿宋_GB2312" w:hAnsi="宋体" w:eastAsia="仿宋_GB2312" w:cs="仿宋_GB2312"/>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b/>
                <w:bCs/>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　</w:t>
            </w:r>
          </w:p>
        </w:tc>
      </w:tr>
    </w:tbl>
    <w:p>
      <w:pPr>
        <w:widowControl/>
        <w:jc w:val="left"/>
        <w:outlineLvl w:val="1"/>
        <w:rPr>
          <w:rFonts w:ascii="仿宋_GB2312" w:hAnsi="宋体" w:eastAsia="仿宋_GB2312"/>
          <w:kern w:val="0"/>
          <w:sz w:val="30"/>
          <w:szCs w:val="30"/>
        </w:rPr>
      </w:pPr>
      <w:r>
        <w:rPr>
          <w:rFonts w:hint="eastAsia" w:ascii="仿宋_GB2312" w:hAnsi="宋体" w:eastAsia="仿宋_GB2312" w:cs="仿宋_GB2312"/>
          <w:kern w:val="0"/>
          <w:sz w:val="32"/>
          <w:szCs w:val="32"/>
        </w:rPr>
        <w:t>备注：本单位无</w:t>
      </w:r>
      <w:r>
        <w:rPr>
          <w:rFonts w:hint="eastAsia" w:ascii="仿宋_GB2312" w:hAnsi="宋体" w:eastAsia="仿宋_GB2312" w:cs="仿宋_GB2312"/>
          <w:kern w:val="0"/>
          <w:sz w:val="30"/>
          <w:szCs w:val="30"/>
        </w:rPr>
        <w:t>政府性基金预算支出。</w:t>
      </w:r>
    </w:p>
    <w:p>
      <w:pPr>
        <w:widowControl/>
        <w:jc w:val="left"/>
        <w:outlineLvl w:val="1"/>
        <w:rPr>
          <w:rFonts w:ascii="仿宋_GB2312" w:hAnsi="宋体" w:eastAsia="仿宋_GB2312"/>
          <w:kern w:val="0"/>
          <w:sz w:val="32"/>
          <w:szCs w:val="32"/>
        </w:rPr>
        <w:sectPr>
          <w:headerReference r:id="rId3" w:type="default"/>
          <w:footerReference r:id="rId4" w:type="default"/>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cs="黑体"/>
          <w:kern w:val="0"/>
          <w:sz w:val="32"/>
          <w:szCs w:val="32"/>
        </w:rPr>
        <w:t>第三部分</w:t>
      </w:r>
      <w:r>
        <w:rPr>
          <w:rFonts w:ascii="黑体" w:hAnsi="黑体" w:eastAsia="黑体" w:cs="黑体"/>
          <w:kern w:val="0"/>
          <w:sz w:val="32"/>
          <w:szCs w:val="32"/>
        </w:rPr>
        <w:t xml:space="preserve">  2020</w:t>
      </w:r>
      <w:r>
        <w:rPr>
          <w:rFonts w:hint="eastAsia" w:ascii="黑体" w:hAnsi="黑体" w:eastAsia="黑体" w:cs="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kern w:val="0"/>
          <w:sz w:val="32"/>
          <w:szCs w:val="32"/>
        </w:rPr>
      </w:pPr>
      <w:r>
        <w:rPr>
          <w:rFonts w:hint="eastAsia" w:ascii="黑体" w:hAnsi="黑体" w:eastAsia="黑体" w:cs="黑体"/>
          <w:kern w:val="0"/>
          <w:sz w:val="32"/>
          <w:szCs w:val="32"/>
        </w:rPr>
        <w:t>一、</w:t>
      </w:r>
      <w:r>
        <w:rPr>
          <w:rFonts w:hint="eastAsia" w:ascii="黑体" w:hAnsi="宋体" w:eastAsia="黑体" w:cs="黑体"/>
          <w:kern w:val="0"/>
          <w:sz w:val="32"/>
          <w:szCs w:val="32"/>
        </w:rPr>
        <w:t>关于</w:t>
      </w:r>
      <w:r>
        <w:rPr>
          <w:rFonts w:hint="eastAsia" w:ascii="黑体" w:hAnsi="黑体" w:eastAsia="黑体" w:cs="黑体"/>
          <w:sz w:val="32"/>
          <w:szCs w:val="32"/>
        </w:rPr>
        <w:t>新疆维吾尔自治区人民检察院和田分院</w:t>
      </w:r>
      <w:r>
        <w:rPr>
          <w:rFonts w:ascii="黑体" w:hAnsi="宋体" w:eastAsia="黑体" w:cs="黑体"/>
          <w:kern w:val="0"/>
          <w:sz w:val="32"/>
          <w:szCs w:val="32"/>
        </w:rPr>
        <w:t>2020</w:t>
      </w:r>
      <w:r>
        <w:rPr>
          <w:rFonts w:hint="eastAsia" w:ascii="黑体" w:hAnsi="宋体" w:eastAsia="黑体" w:cs="黑体"/>
          <w:kern w:val="0"/>
          <w:sz w:val="32"/>
          <w:szCs w:val="32"/>
        </w:rPr>
        <w:t>年收支预算情况的总体说明</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按照全口径预算的原则，</w:t>
      </w:r>
      <w:r>
        <w:rPr>
          <w:rFonts w:hint="eastAsia" w:ascii="仿宋_GB2312" w:hAnsi="仿宋_GB2312" w:eastAsia="仿宋_GB2312" w:cs="仿宋_GB2312"/>
          <w:sz w:val="32"/>
          <w:szCs w:val="32"/>
        </w:rPr>
        <w:t>新疆维吾尔自治区人民检察院和田分院</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年所有收入和支出均纳入部门预算管理。收支总预算</w:t>
      </w:r>
      <w:r>
        <w:rPr>
          <w:rFonts w:ascii="仿宋_GB2312" w:hAnsi="宋体" w:eastAsia="仿宋_GB2312" w:cs="仿宋_GB2312"/>
          <w:kern w:val="0"/>
          <w:sz w:val="32"/>
          <w:szCs w:val="32"/>
        </w:rPr>
        <w:t>1852.37</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收入预算包括：一般公共预算</w:t>
      </w:r>
      <w:r>
        <w:rPr>
          <w:rFonts w:ascii="仿宋_GB2312" w:hAnsi="宋体" w:eastAsia="仿宋_GB2312" w:cs="仿宋_GB2312"/>
          <w:kern w:val="0"/>
          <w:sz w:val="32"/>
          <w:szCs w:val="32"/>
        </w:rPr>
        <w:t>1852.37</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支出预算包括：公共安全支出</w:t>
      </w:r>
      <w:r>
        <w:rPr>
          <w:rFonts w:ascii="仿宋_GB2312" w:hAnsi="宋体" w:eastAsia="仿宋_GB2312" w:cs="仿宋_GB2312"/>
          <w:kern w:val="0"/>
          <w:sz w:val="32"/>
          <w:szCs w:val="32"/>
        </w:rPr>
        <w:t>1641.75</w:t>
      </w:r>
      <w:r>
        <w:rPr>
          <w:rFonts w:hint="eastAsia" w:ascii="仿宋_GB2312" w:hAnsi="宋体" w:eastAsia="仿宋_GB2312" w:cs="仿宋_GB2312"/>
          <w:kern w:val="0"/>
          <w:sz w:val="32"/>
          <w:szCs w:val="32"/>
        </w:rPr>
        <w:t>万元、社会保障和就业支出</w:t>
      </w:r>
      <w:r>
        <w:rPr>
          <w:rFonts w:ascii="仿宋_GB2312" w:hAnsi="宋体" w:eastAsia="仿宋_GB2312" w:cs="仿宋_GB2312"/>
          <w:kern w:val="0"/>
          <w:sz w:val="32"/>
          <w:szCs w:val="32"/>
        </w:rPr>
        <w:t>210.62</w:t>
      </w:r>
      <w:r>
        <w:rPr>
          <w:rFonts w:hint="eastAsia" w:ascii="仿宋_GB2312" w:hAnsi="宋体" w:eastAsia="仿宋_GB2312" w:cs="仿宋_GB2312"/>
          <w:kern w:val="0"/>
          <w:sz w:val="32"/>
          <w:szCs w:val="32"/>
        </w:rPr>
        <w:t>万元。</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二、关于</w:t>
      </w:r>
      <w:r>
        <w:rPr>
          <w:rFonts w:hint="eastAsia" w:ascii="黑体" w:hAnsi="黑体" w:eastAsia="黑体" w:cs="黑体"/>
          <w:sz w:val="32"/>
          <w:szCs w:val="32"/>
        </w:rPr>
        <w:t>新疆维吾尔自治区人民检察院和田分院</w:t>
      </w:r>
      <w:r>
        <w:rPr>
          <w:rFonts w:ascii="黑体" w:hAnsi="宋体" w:eastAsia="黑体" w:cs="黑体"/>
          <w:kern w:val="0"/>
          <w:sz w:val="32"/>
          <w:szCs w:val="32"/>
        </w:rPr>
        <w:t>2020</w:t>
      </w:r>
      <w:r>
        <w:rPr>
          <w:rFonts w:hint="eastAsia" w:ascii="黑体" w:hAnsi="宋体" w:eastAsia="黑体" w:cs="黑体"/>
          <w:kern w:val="0"/>
          <w:sz w:val="32"/>
          <w:szCs w:val="32"/>
        </w:rPr>
        <w:t>年收入预算情况说明</w:t>
      </w:r>
    </w:p>
    <w:p>
      <w:pPr>
        <w:spacing w:line="560" w:lineRule="exact"/>
        <w:ind w:firstLine="640" w:firstLineChars="200"/>
        <w:rPr>
          <w:rFonts w:ascii="仿宋_GB2312" w:hAnsi="宋体" w:eastAsia="仿宋_GB2312"/>
          <w:kern w:val="0"/>
          <w:sz w:val="32"/>
          <w:szCs w:val="32"/>
        </w:rPr>
      </w:pPr>
      <w:r>
        <w:rPr>
          <w:rFonts w:hint="eastAsia" w:ascii="仿宋_GB2312" w:hAnsi="仿宋_GB2312" w:eastAsia="仿宋_GB2312" w:cs="仿宋_GB2312"/>
          <w:sz w:val="32"/>
          <w:szCs w:val="32"/>
        </w:rPr>
        <w:t>新疆维吾尔自治区人民检察院和田分院</w:t>
      </w:r>
      <w:r>
        <w:rPr>
          <w:rFonts w:hint="eastAsia" w:ascii="仿宋_GB2312" w:hAnsi="仿宋_GB2312" w:eastAsia="仿宋_GB2312" w:cs="仿宋_GB2312"/>
          <w:kern w:val="0"/>
          <w:sz w:val="32"/>
          <w:szCs w:val="32"/>
        </w:rPr>
        <w:t>收入</w:t>
      </w:r>
      <w:r>
        <w:rPr>
          <w:rFonts w:hint="eastAsia" w:ascii="仿宋_GB2312" w:hAnsi="宋体" w:eastAsia="仿宋_GB2312" w:cs="仿宋_GB2312"/>
          <w:kern w:val="0"/>
          <w:sz w:val="32"/>
          <w:szCs w:val="32"/>
        </w:rPr>
        <w:t>预算</w:t>
      </w:r>
      <w:r>
        <w:rPr>
          <w:rFonts w:ascii="仿宋_GB2312" w:hAnsi="宋体" w:eastAsia="仿宋_GB2312" w:cs="仿宋_GB2312"/>
          <w:kern w:val="0"/>
          <w:sz w:val="32"/>
          <w:szCs w:val="32"/>
        </w:rPr>
        <w:t>1852.37</w:t>
      </w:r>
      <w:r>
        <w:rPr>
          <w:rFonts w:hint="eastAsia" w:ascii="仿宋_GB2312" w:hAnsi="宋体" w:eastAsia="仿宋_GB2312" w:cs="仿宋_GB2312"/>
          <w:kern w:val="0"/>
          <w:sz w:val="32"/>
          <w:szCs w:val="32"/>
        </w:rPr>
        <w:t>元，其中：</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一般公共预算</w:t>
      </w:r>
      <w:r>
        <w:rPr>
          <w:rFonts w:ascii="仿宋_GB2312" w:hAnsi="宋体" w:eastAsia="仿宋_GB2312" w:cs="仿宋_GB2312"/>
          <w:kern w:val="0"/>
          <w:sz w:val="32"/>
          <w:szCs w:val="32"/>
        </w:rPr>
        <w:t>1852.37</w:t>
      </w:r>
      <w:r>
        <w:rPr>
          <w:rFonts w:hint="eastAsia" w:ascii="仿宋_GB2312" w:hAnsi="宋体" w:eastAsia="仿宋_GB2312" w:cs="仿宋_GB2312"/>
          <w:kern w:val="0"/>
          <w:sz w:val="32"/>
          <w:szCs w:val="32"/>
        </w:rPr>
        <w:t>万元，占</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，比上年增加</w:t>
      </w:r>
      <w:r>
        <w:rPr>
          <w:rFonts w:hint="eastAsia" w:ascii="仿宋_GB2312" w:hAnsi="宋体" w:eastAsia="仿宋_GB2312" w:cs="仿宋_GB2312"/>
          <w:kern w:val="0"/>
          <w:sz w:val="32"/>
          <w:szCs w:val="32"/>
          <w:lang w:eastAsia="zh-CN"/>
        </w:rPr>
        <w:t>（减少）</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万元，主要原因是</w:t>
      </w:r>
      <w:r>
        <w:rPr>
          <w:rFonts w:hint="eastAsia" w:ascii="仿宋_GB2312" w:hAnsi="宋体" w:eastAsia="仿宋_GB2312" w:cs="仿宋_GB2312"/>
          <w:kern w:val="0"/>
          <w:sz w:val="32"/>
          <w:szCs w:val="32"/>
          <w:lang w:eastAsia="zh-CN"/>
        </w:rPr>
        <w:t>不做对比</w:t>
      </w:r>
      <w:r>
        <w:rPr>
          <w:rFonts w:hint="eastAsia" w:ascii="仿宋_GB2312" w:hAnsi="宋体" w:eastAsia="仿宋_GB2312" w:cs="仿宋_GB2312"/>
          <w:kern w:val="0"/>
          <w:sz w:val="32"/>
          <w:szCs w:val="32"/>
        </w:rPr>
        <w:t>；</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政府性基金预算未安排。</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三、关于</w:t>
      </w:r>
      <w:r>
        <w:rPr>
          <w:rFonts w:hint="eastAsia" w:ascii="黑体" w:hAnsi="黑体" w:eastAsia="黑体" w:cs="黑体"/>
          <w:sz w:val="32"/>
          <w:szCs w:val="32"/>
        </w:rPr>
        <w:t>新疆维吾尔自治区人民检察院和田分院</w:t>
      </w:r>
      <w:r>
        <w:rPr>
          <w:rFonts w:ascii="黑体" w:hAnsi="宋体" w:eastAsia="黑体" w:cs="黑体"/>
          <w:kern w:val="0"/>
          <w:sz w:val="32"/>
          <w:szCs w:val="32"/>
        </w:rPr>
        <w:t>2020</w:t>
      </w:r>
      <w:r>
        <w:rPr>
          <w:rFonts w:hint="eastAsia" w:ascii="黑体" w:hAnsi="宋体" w:eastAsia="黑体" w:cs="黑体"/>
          <w:kern w:val="0"/>
          <w:sz w:val="32"/>
          <w:szCs w:val="32"/>
        </w:rPr>
        <w:t>年支出预算情况说明</w:t>
      </w:r>
    </w:p>
    <w:p>
      <w:pPr>
        <w:spacing w:line="560" w:lineRule="exact"/>
        <w:ind w:firstLine="640" w:firstLineChars="200"/>
        <w:rPr>
          <w:rFonts w:ascii="仿宋_GB2312" w:hAnsi="宋体" w:eastAsia="仿宋_GB2312"/>
          <w:kern w:val="0"/>
          <w:sz w:val="32"/>
          <w:szCs w:val="32"/>
        </w:rPr>
      </w:pPr>
      <w:r>
        <w:rPr>
          <w:rFonts w:hint="eastAsia" w:ascii="仿宋_GB2312" w:hAnsi="仿宋_GB2312" w:eastAsia="仿宋_GB2312" w:cs="仿宋_GB2312"/>
          <w:color w:val="333333"/>
          <w:sz w:val="32"/>
          <w:szCs w:val="32"/>
          <w:shd w:val="clear" w:color="auto" w:fill="FFFFFF"/>
        </w:rPr>
        <w:t>新疆维吾尔自治区人民检察院和田分院</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年支出预</w:t>
      </w:r>
      <w:r>
        <w:rPr>
          <w:rFonts w:hint="eastAsia" w:ascii="仿宋_GB2312" w:eastAsia="仿宋_GB2312" w:cs="仿宋_GB2312"/>
          <w:sz w:val="32"/>
          <w:szCs w:val="32"/>
        </w:rPr>
        <w:t>算</w:t>
      </w:r>
      <w:r>
        <w:rPr>
          <w:rFonts w:ascii="仿宋_GB2312" w:eastAsia="仿宋_GB2312" w:cs="仿宋_GB2312"/>
          <w:sz w:val="32"/>
          <w:szCs w:val="32"/>
        </w:rPr>
        <w:t>18</w:t>
      </w:r>
      <w:r>
        <w:rPr>
          <w:rFonts w:ascii="仿宋_GB2312" w:hAnsi="宋体" w:eastAsia="仿宋_GB2312" w:cs="仿宋_GB2312"/>
          <w:kern w:val="0"/>
          <w:sz w:val="32"/>
          <w:szCs w:val="32"/>
        </w:rPr>
        <w:t>52.37</w:t>
      </w:r>
      <w:r>
        <w:rPr>
          <w:rFonts w:hint="eastAsia" w:ascii="仿宋_GB2312" w:hAnsi="宋体" w:eastAsia="仿宋_GB2312" w:cs="仿宋_GB2312"/>
          <w:kern w:val="0"/>
          <w:sz w:val="32"/>
          <w:szCs w:val="32"/>
        </w:rPr>
        <w:t>元，其中：</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基本支出</w:t>
      </w:r>
      <w:r>
        <w:rPr>
          <w:rFonts w:ascii="仿宋_GB2312" w:hAnsi="宋体" w:eastAsia="仿宋_GB2312" w:cs="仿宋_GB2312"/>
          <w:kern w:val="0"/>
          <w:sz w:val="32"/>
          <w:szCs w:val="32"/>
        </w:rPr>
        <w:t>1691.37</w:t>
      </w:r>
      <w:r>
        <w:rPr>
          <w:rFonts w:hint="eastAsia" w:ascii="仿宋_GB2312" w:hAnsi="宋体" w:eastAsia="仿宋_GB2312" w:cs="仿宋_GB2312"/>
          <w:kern w:val="0"/>
          <w:sz w:val="32"/>
          <w:szCs w:val="32"/>
        </w:rPr>
        <w:t>万元，占</w:t>
      </w:r>
      <w:r>
        <w:rPr>
          <w:rFonts w:ascii="仿宋_GB2312" w:hAnsi="宋体" w:eastAsia="仿宋_GB2312" w:cs="仿宋_GB2312"/>
          <w:kern w:val="0"/>
          <w:sz w:val="32"/>
          <w:szCs w:val="32"/>
        </w:rPr>
        <w:t>91.31%</w:t>
      </w:r>
      <w:r>
        <w:rPr>
          <w:rFonts w:hint="eastAsia" w:ascii="仿宋_GB2312" w:hAnsi="宋体" w:eastAsia="仿宋_GB2312" w:cs="仿宋_GB2312"/>
          <w:kern w:val="0"/>
          <w:sz w:val="32"/>
          <w:szCs w:val="32"/>
        </w:rPr>
        <w:t>，比上年</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rPr>
        <w:t>减少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万元，主要原因是</w:t>
      </w:r>
      <w:r>
        <w:rPr>
          <w:rFonts w:hint="eastAsia" w:ascii="仿宋_GB2312" w:hAnsi="宋体" w:eastAsia="仿宋_GB2312" w:cs="仿宋_GB2312"/>
          <w:kern w:val="0"/>
          <w:sz w:val="32"/>
          <w:szCs w:val="32"/>
          <w:lang w:eastAsia="zh-CN"/>
        </w:rPr>
        <w:t>不做对比</w:t>
      </w:r>
      <w:r>
        <w:rPr>
          <w:rFonts w:hint="eastAsia" w:ascii="仿宋_GB2312" w:hAnsi="宋体" w:eastAsia="仿宋_GB2312" w:cs="仿宋_GB2312"/>
          <w:kern w:val="0"/>
          <w:sz w:val="32"/>
          <w:szCs w:val="32"/>
        </w:rPr>
        <w:t>。</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项目支出</w:t>
      </w:r>
      <w:r>
        <w:rPr>
          <w:rFonts w:ascii="仿宋_GB2312" w:hAnsi="宋体" w:eastAsia="仿宋_GB2312" w:cs="仿宋_GB2312"/>
          <w:kern w:val="0"/>
          <w:sz w:val="32"/>
          <w:szCs w:val="32"/>
        </w:rPr>
        <w:t>161</w:t>
      </w:r>
      <w:r>
        <w:rPr>
          <w:rFonts w:hint="eastAsia" w:ascii="仿宋_GB2312" w:hAnsi="宋体" w:eastAsia="仿宋_GB2312" w:cs="仿宋_GB2312"/>
          <w:kern w:val="0"/>
          <w:sz w:val="32"/>
          <w:szCs w:val="32"/>
        </w:rPr>
        <w:t>万元，占</w:t>
      </w:r>
      <w:r>
        <w:rPr>
          <w:rFonts w:ascii="仿宋_GB2312" w:hAnsi="宋体" w:eastAsia="仿宋_GB2312" w:cs="仿宋_GB2312"/>
          <w:kern w:val="0"/>
          <w:sz w:val="32"/>
          <w:szCs w:val="32"/>
        </w:rPr>
        <w:t>8.69%</w:t>
      </w:r>
      <w:r>
        <w:rPr>
          <w:rFonts w:hint="eastAsia" w:ascii="仿宋_GB2312" w:hAnsi="宋体" w:eastAsia="仿宋_GB2312" w:cs="仿宋_GB2312"/>
          <w:kern w:val="0"/>
          <w:sz w:val="32"/>
          <w:szCs w:val="32"/>
        </w:rPr>
        <w:t>，比上年</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rPr>
        <w:t>减少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万元，主要原因是</w:t>
      </w:r>
      <w:r>
        <w:rPr>
          <w:rFonts w:hint="eastAsia" w:ascii="仿宋_GB2312" w:hAnsi="宋体" w:eastAsia="仿宋_GB2312" w:cs="仿宋_GB2312"/>
          <w:kern w:val="0"/>
          <w:sz w:val="32"/>
          <w:szCs w:val="32"/>
          <w:lang w:eastAsia="zh-CN"/>
        </w:rPr>
        <w:t>不做对比</w:t>
      </w:r>
      <w:r>
        <w:rPr>
          <w:rFonts w:hint="eastAsia" w:ascii="仿宋_GB2312" w:hAnsi="宋体" w:eastAsia="仿宋_GB2312" w:cs="仿宋_GB2312"/>
          <w:kern w:val="0"/>
          <w:sz w:val="32"/>
          <w:szCs w:val="32"/>
        </w:rPr>
        <w:t>。</w:t>
      </w:r>
    </w:p>
    <w:p>
      <w:pPr>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四、关于</w:t>
      </w:r>
      <w:r>
        <w:rPr>
          <w:rFonts w:hint="eastAsia" w:ascii="黑体" w:hAnsi="黑体" w:eastAsia="黑体" w:cs="黑体"/>
          <w:sz w:val="32"/>
          <w:szCs w:val="32"/>
        </w:rPr>
        <w:t>新疆维吾尔自治区人民检察院和田分院</w:t>
      </w:r>
      <w:r>
        <w:rPr>
          <w:rFonts w:ascii="黑体" w:hAnsi="黑体" w:eastAsia="黑体" w:cs="黑体"/>
          <w:kern w:val="0"/>
          <w:sz w:val="32"/>
          <w:szCs w:val="32"/>
        </w:rPr>
        <w:t>2020</w:t>
      </w:r>
      <w:r>
        <w:rPr>
          <w:rFonts w:hint="eastAsia" w:ascii="黑体" w:hAnsi="黑体" w:eastAsia="黑体" w:cs="黑体"/>
          <w:kern w:val="0"/>
          <w:sz w:val="32"/>
          <w:szCs w:val="32"/>
        </w:rPr>
        <w:t>年财政拨款收支预算情况的总体说明</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年财政拨款收支总预算</w:t>
      </w:r>
      <w:r>
        <w:rPr>
          <w:rFonts w:ascii="仿宋_GB2312" w:eastAsia="仿宋_GB2312" w:cs="仿宋_GB2312"/>
          <w:sz w:val="32"/>
          <w:szCs w:val="32"/>
        </w:rPr>
        <w:t>18</w:t>
      </w:r>
      <w:r>
        <w:rPr>
          <w:rFonts w:ascii="仿宋_GB2312" w:hAnsi="宋体" w:eastAsia="仿宋_GB2312" w:cs="仿宋_GB2312"/>
          <w:kern w:val="0"/>
          <w:sz w:val="32"/>
          <w:szCs w:val="32"/>
        </w:rPr>
        <w:t>52.37</w:t>
      </w:r>
      <w:r>
        <w:rPr>
          <w:rFonts w:hint="eastAsia" w:ascii="仿宋_GB2312" w:hAnsi="宋体" w:eastAsia="仿宋_GB2312" w:cs="仿宋_GB2312"/>
          <w:kern w:val="0"/>
          <w:sz w:val="32"/>
          <w:szCs w:val="32"/>
        </w:rPr>
        <w:t>万元。</w:t>
      </w:r>
    </w:p>
    <w:p>
      <w:pPr>
        <w:spacing w:line="560" w:lineRule="exact"/>
        <w:ind w:firstLine="616" w:firstLineChars="200"/>
        <w:rPr>
          <w:rFonts w:ascii="仿宋_GB2312" w:hAnsi="宋体" w:eastAsia="仿宋_GB2312"/>
          <w:b/>
          <w:bCs/>
          <w:spacing w:val="-6"/>
          <w:kern w:val="0"/>
          <w:sz w:val="32"/>
          <w:szCs w:val="32"/>
        </w:rPr>
      </w:pPr>
      <w:r>
        <w:rPr>
          <w:rFonts w:hint="eastAsia" w:ascii="仿宋_GB2312" w:hAnsi="宋体" w:eastAsia="仿宋_GB2312" w:cs="仿宋_GB2312"/>
          <w:spacing w:val="-6"/>
          <w:kern w:val="0"/>
          <w:sz w:val="32"/>
          <w:szCs w:val="32"/>
        </w:rPr>
        <w:t>收入全部为一般公共预算拨款，无政府性基金预算拨款。</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五、关于</w:t>
      </w:r>
      <w:r>
        <w:rPr>
          <w:rFonts w:hint="eastAsia" w:ascii="黑体" w:hAnsi="黑体" w:eastAsia="黑体" w:cs="黑体"/>
          <w:sz w:val="32"/>
          <w:szCs w:val="32"/>
        </w:rPr>
        <w:t>新疆维吾尔自治区人民检察院和田分院</w:t>
      </w:r>
      <w:r>
        <w:rPr>
          <w:rFonts w:ascii="黑体" w:hAnsi="宋体" w:eastAsia="黑体" w:cs="黑体"/>
          <w:kern w:val="0"/>
          <w:sz w:val="32"/>
          <w:szCs w:val="32"/>
        </w:rPr>
        <w:t>2020</w:t>
      </w:r>
      <w:r>
        <w:rPr>
          <w:rFonts w:hint="eastAsia" w:ascii="黑体" w:hAnsi="宋体" w:eastAsia="黑体" w:cs="黑体"/>
          <w:kern w:val="0"/>
          <w:sz w:val="32"/>
          <w:szCs w:val="32"/>
        </w:rPr>
        <w:t>年一般公共预算当年拨款情况说明</w:t>
      </w:r>
    </w:p>
    <w:p>
      <w:pPr>
        <w:spacing w:line="560" w:lineRule="exact"/>
        <w:ind w:firstLine="643" w:firstLineChars="200"/>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（一）一般公用预算当年拨款规模变化情况</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年一般公共预算拨款基本支出</w:t>
      </w:r>
      <w:r>
        <w:rPr>
          <w:rFonts w:ascii="仿宋_GB2312" w:hAnsi="仿宋_GB2312" w:eastAsia="仿宋_GB2312" w:cs="仿宋_GB2312"/>
          <w:kern w:val="0"/>
          <w:sz w:val="32"/>
          <w:szCs w:val="32"/>
        </w:rPr>
        <w:t>1691.37</w:t>
      </w:r>
      <w:r>
        <w:rPr>
          <w:rFonts w:hint="eastAsia" w:ascii="仿宋_GB2312" w:hAnsi="仿宋_GB2312" w:eastAsia="仿宋_GB2312" w:cs="仿宋_GB2312"/>
          <w:kern w:val="0"/>
          <w:sz w:val="32"/>
          <w:szCs w:val="32"/>
        </w:rPr>
        <w:t>万元，比上年执行数</w:t>
      </w:r>
      <w:r>
        <w:rPr>
          <w:rFonts w:hint="eastAsia" w:ascii="仿宋_GB2312" w:hAnsi="仿宋_GB2312" w:eastAsia="仿宋_GB2312" w:cs="仿宋_GB2312"/>
          <w:kern w:val="0"/>
          <w:sz w:val="32"/>
          <w:szCs w:val="32"/>
          <w:lang w:eastAsia="zh-CN"/>
        </w:rPr>
        <w:t>增加（减少）</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下降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不做对比</w:t>
      </w:r>
      <w:r>
        <w:rPr>
          <w:rFonts w:hint="eastAsia" w:ascii="仿宋_GB2312" w:hAnsi="仿宋_GB2312" w:eastAsia="仿宋_GB2312" w:cs="仿宋_GB2312"/>
          <w:kern w:val="0"/>
          <w:sz w:val="32"/>
          <w:szCs w:val="32"/>
        </w:rPr>
        <w:t>。</w:t>
      </w:r>
    </w:p>
    <w:p>
      <w:pPr>
        <w:spacing w:line="560" w:lineRule="exact"/>
        <w:ind w:firstLine="643" w:firstLineChars="200"/>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（二）一般公共预算当年拨款结构情况</w:t>
      </w:r>
    </w:p>
    <w:p>
      <w:pPr>
        <w:spacing w:line="560" w:lineRule="exact"/>
        <w:ind w:firstLine="640" w:firstLineChars="200"/>
        <w:rPr>
          <w:rFonts w:ascii="仿宋_GB2312" w:hAnsi="宋体" w:eastAsia="仿宋_GB2312"/>
          <w:kern w:val="0"/>
          <w:sz w:val="32"/>
          <w:szCs w:val="32"/>
        </w:rPr>
      </w:pPr>
      <w:r>
        <w:rPr>
          <w:rFonts w:ascii="仿宋_GB2312" w:eastAsia="仿宋_GB2312" w:cs="仿宋_GB2312"/>
          <w:sz w:val="32"/>
          <w:szCs w:val="32"/>
        </w:rPr>
        <w:t>1.</w:t>
      </w:r>
      <w:r>
        <w:rPr>
          <w:rFonts w:hint="eastAsia" w:ascii="仿宋_GB2312" w:eastAsia="仿宋_GB2312" w:cs="仿宋_GB2312"/>
          <w:sz w:val="32"/>
          <w:szCs w:val="32"/>
        </w:rPr>
        <w:t>公共安全支出（类）</w:t>
      </w:r>
      <w:r>
        <w:rPr>
          <w:rFonts w:ascii="楷体_GB2312" w:eastAsia="楷体_GB2312" w:cs="楷体_GB2312"/>
          <w:sz w:val="32"/>
          <w:szCs w:val="32"/>
        </w:rPr>
        <w:t>1641.75</w:t>
      </w:r>
      <w:r>
        <w:rPr>
          <w:rFonts w:hint="eastAsia" w:ascii="仿宋_GB2312" w:hAnsi="宋体" w:eastAsia="仿宋_GB2312" w:cs="仿宋_GB2312"/>
          <w:kern w:val="0"/>
          <w:sz w:val="32"/>
          <w:szCs w:val="32"/>
        </w:rPr>
        <w:t>万元，占</w:t>
      </w:r>
      <w:r>
        <w:rPr>
          <w:rFonts w:ascii="仿宋_GB2312" w:hAnsi="宋体" w:eastAsia="仿宋_GB2312" w:cs="仿宋_GB2312"/>
          <w:kern w:val="0"/>
          <w:sz w:val="32"/>
          <w:szCs w:val="32"/>
        </w:rPr>
        <w:t>88.63%</w:t>
      </w:r>
      <w:r>
        <w:rPr>
          <w:rFonts w:hint="eastAsia" w:ascii="仿宋_GB2312" w:hAnsi="宋体" w:eastAsia="仿宋_GB2312" w:cs="仿宋_GB2312"/>
          <w:kern w:val="0"/>
          <w:sz w:val="32"/>
          <w:szCs w:val="32"/>
        </w:rPr>
        <w:t>。</w:t>
      </w:r>
    </w:p>
    <w:p>
      <w:pPr>
        <w:spacing w:line="580" w:lineRule="exact"/>
        <w:ind w:firstLine="64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社会保障和就业支出</w:t>
      </w:r>
      <w:r>
        <w:rPr>
          <w:rFonts w:hint="eastAsia" w:ascii="仿宋_GB2312" w:eastAsia="仿宋_GB2312" w:cs="仿宋_GB2312"/>
          <w:sz w:val="32"/>
          <w:szCs w:val="32"/>
        </w:rPr>
        <w:t>（类）</w:t>
      </w:r>
      <w:r>
        <w:rPr>
          <w:rFonts w:ascii="仿宋_GB2312" w:eastAsia="仿宋_GB2312" w:cs="仿宋_GB2312"/>
          <w:sz w:val="32"/>
          <w:szCs w:val="32"/>
        </w:rPr>
        <w:t>210.62</w:t>
      </w:r>
      <w:r>
        <w:rPr>
          <w:rFonts w:hint="eastAsia" w:ascii="仿宋_GB2312" w:hAnsi="宋体" w:eastAsia="仿宋_GB2312" w:cs="仿宋_GB2312"/>
          <w:kern w:val="0"/>
          <w:sz w:val="32"/>
          <w:szCs w:val="32"/>
        </w:rPr>
        <w:t>万元，占</w:t>
      </w:r>
      <w:r>
        <w:rPr>
          <w:rFonts w:ascii="仿宋_GB2312" w:hAnsi="宋体" w:eastAsia="仿宋_GB2312" w:cs="仿宋_GB2312"/>
          <w:kern w:val="0"/>
          <w:sz w:val="32"/>
          <w:szCs w:val="32"/>
        </w:rPr>
        <w:t>11.37 %</w:t>
      </w:r>
      <w:r>
        <w:rPr>
          <w:rFonts w:hint="eastAsia" w:ascii="仿宋_GB2312" w:hAnsi="宋体" w:eastAsia="仿宋_GB2312" w:cs="仿宋_GB2312"/>
          <w:kern w:val="0"/>
          <w:sz w:val="32"/>
          <w:szCs w:val="32"/>
        </w:rPr>
        <w:t>。</w:t>
      </w:r>
    </w:p>
    <w:p>
      <w:pPr>
        <w:spacing w:line="560" w:lineRule="exact"/>
        <w:ind w:firstLine="643" w:firstLineChars="200"/>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（三）一般公共预算当年拨款具体使用情况</w:t>
      </w:r>
    </w:p>
    <w:p>
      <w:pPr>
        <w:widowControl/>
        <w:spacing w:line="580" w:lineRule="exact"/>
        <w:ind w:firstLine="640"/>
        <w:jc w:val="left"/>
        <w:rPr>
          <w:rFonts w:hint="eastAsia" w:ascii="仿宋_GB2312" w:hAnsi="宋体" w:eastAsia="仿宋_GB2312"/>
          <w:color w:val="000000"/>
          <w:kern w:val="0"/>
          <w:sz w:val="32"/>
          <w:szCs w:val="32"/>
          <w:lang w:eastAsia="zh-CN"/>
        </w:rPr>
      </w:pPr>
      <w:r>
        <w:rPr>
          <w:rFonts w:ascii="仿宋_GB2312" w:hAnsi="宋体" w:eastAsia="仿宋_GB2312" w:cs="仿宋_GB2312"/>
          <w:kern w:val="0"/>
          <w:sz w:val="32"/>
          <w:szCs w:val="32"/>
        </w:rPr>
        <w:t>1.2040401</w:t>
      </w:r>
      <w:r>
        <w:rPr>
          <w:rFonts w:hint="eastAsia" w:ascii="仿宋_GB2312" w:eastAsia="仿宋_GB2312" w:cs="仿宋_GB2312"/>
          <w:sz w:val="32"/>
          <w:szCs w:val="32"/>
        </w:rPr>
        <w:t>公共安全支出</w:t>
      </w:r>
      <w:r>
        <w:rPr>
          <w:rFonts w:hint="eastAsia" w:ascii="仿宋_GB2312" w:hAnsi="宋体" w:eastAsia="仿宋_GB2312" w:cs="仿宋_GB2312"/>
          <w:kern w:val="0"/>
          <w:sz w:val="32"/>
          <w:szCs w:val="32"/>
        </w:rPr>
        <w:t>（类）检察（款）行政运行（项）</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年预算数为</w:t>
      </w:r>
      <w:r>
        <w:rPr>
          <w:rFonts w:ascii="仿宋_GB2312" w:hAnsi="宋体" w:eastAsia="仿宋_GB2312" w:cs="仿宋_GB2312"/>
          <w:kern w:val="0"/>
          <w:sz w:val="32"/>
          <w:szCs w:val="32"/>
        </w:rPr>
        <w:t>1480.75</w:t>
      </w:r>
      <w:r>
        <w:rPr>
          <w:rFonts w:hint="eastAsia" w:ascii="仿宋_GB2312" w:hAnsi="宋体" w:eastAsia="仿宋_GB2312" w:cs="仿宋_GB2312"/>
          <w:kern w:val="0"/>
          <w:sz w:val="32"/>
          <w:szCs w:val="32"/>
        </w:rPr>
        <w:t>万元，比上年执行数</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rPr>
        <w:t>减少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增长（</w:t>
      </w:r>
      <w:r>
        <w:rPr>
          <w:rFonts w:hint="eastAsia" w:ascii="仿宋_GB2312" w:hAnsi="宋体" w:eastAsia="仿宋_GB2312" w:cs="仿宋_GB2312"/>
          <w:kern w:val="0"/>
          <w:sz w:val="32"/>
          <w:szCs w:val="32"/>
        </w:rPr>
        <w:t>下降</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hAnsi="宋体" w:eastAsia="仿宋_GB2312" w:cs="仿宋_GB2312"/>
          <w:color w:val="000000"/>
          <w:kern w:val="0"/>
          <w:sz w:val="32"/>
          <w:szCs w:val="32"/>
          <w:lang w:eastAsia="zh-CN"/>
        </w:rPr>
        <w:t>不做对比。</w:t>
      </w:r>
    </w:p>
    <w:p>
      <w:pPr>
        <w:widowControl/>
        <w:spacing w:line="580" w:lineRule="exact"/>
        <w:ind w:firstLine="640"/>
        <w:jc w:val="left"/>
        <w:rPr>
          <w:rFonts w:hint="eastAsia" w:ascii="仿宋_GB2312" w:hAnsi="宋体" w:eastAsia="仿宋_GB2312"/>
          <w:color w:val="000000"/>
          <w:kern w:val="0"/>
          <w:sz w:val="32"/>
          <w:szCs w:val="32"/>
          <w:lang w:eastAsia="zh-CN"/>
        </w:rPr>
      </w:pPr>
      <w:r>
        <w:rPr>
          <w:rFonts w:ascii="楷体_GB2312" w:hAnsi="宋体" w:eastAsia="楷体_GB2312" w:cs="楷体_GB2312"/>
          <w:kern w:val="0"/>
          <w:sz w:val="32"/>
          <w:szCs w:val="32"/>
        </w:rPr>
        <w:t>2.</w:t>
      </w:r>
      <w:r>
        <w:rPr>
          <w:rFonts w:ascii="仿宋_GB2312" w:hAnsi="宋体" w:eastAsia="仿宋_GB2312" w:cs="仿宋_GB2312"/>
          <w:kern w:val="0"/>
          <w:sz w:val="32"/>
          <w:szCs w:val="32"/>
        </w:rPr>
        <w:t>2080505</w:t>
      </w:r>
      <w:r>
        <w:rPr>
          <w:rFonts w:hint="eastAsia" w:ascii="仿宋_GB2312" w:hAnsi="宋体" w:eastAsia="仿宋_GB2312" w:cs="仿宋_GB2312"/>
          <w:kern w:val="0"/>
          <w:sz w:val="32"/>
          <w:szCs w:val="32"/>
        </w:rPr>
        <w:t>社会保障和就业支出（类）行政事业单位离退休（款）机关事业单位基本养老保险缴费支出（项）</w:t>
      </w:r>
      <w:r>
        <w:rPr>
          <w:rFonts w:ascii="仿宋_GB2312" w:hAnsi="宋体" w:eastAsia="仿宋_GB2312" w:cs="仿宋_GB2312"/>
          <w:kern w:val="0"/>
          <w:sz w:val="32"/>
          <w:szCs w:val="32"/>
        </w:rPr>
        <w:t>140.41</w:t>
      </w:r>
      <w:r>
        <w:rPr>
          <w:rFonts w:hint="eastAsia" w:ascii="仿宋_GB2312" w:hAnsi="宋体" w:eastAsia="仿宋_GB2312" w:cs="仿宋_GB2312"/>
          <w:kern w:val="0"/>
          <w:sz w:val="32"/>
          <w:szCs w:val="32"/>
        </w:rPr>
        <w:t>万元，比上年执行数</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rPr>
        <w:t>减少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增长（</w:t>
      </w:r>
      <w:r>
        <w:rPr>
          <w:rFonts w:hint="eastAsia" w:ascii="仿宋_GB2312" w:hAnsi="宋体" w:eastAsia="仿宋_GB2312" w:cs="仿宋_GB2312"/>
          <w:kern w:val="0"/>
          <w:sz w:val="32"/>
          <w:szCs w:val="32"/>
        </w:rPr>
        <w:t>下降</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hAnsi="宋体" w:eastAsia="仿宋_GB2312" w:cs="仿宋_GB2312"/>
          <w:color w:val="000000"/>
          <w:kern w:val="0"/>
          <w:sz w:val="32"/>
          <w:szCs w:val="32"/>
          <w:lang w:eastAsia="zh-CN"/>
        </w:rPr>
        <w:t>不做对比。</w:t>
      </w:r>
    </w:p>
    <w:p>
      <w:pPr>
        <w:widowControl/>
        <w:spacing w:line="580" w:lineRule="exact"/>
        <w:ind w:firstLine="64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3.2080506</w:t>
      </w:r>
      <w:r>
        <w:rPr>
          <w:rFonts w:hint="eastAsia" w:ascii="仿宋_GB2312" w:hAnsi="宋体" w:eastAsia="仿宋_GB2312" w:cs="仿宋_GB2312"/>
          <w:kern w:val="0"/>
          <w:sz w:val="32"/>
          <w:szCs w:val="32"/>
        </w:rPr>
        <w:t>社会保障和就业支出（类）行政事业单位离退休（款）</w:t>
      </w:r>
      <w:r>
        <w:rPr>
          <w:rFonts w:hint="eastAsia" w:ascii="仿宋_GB2312" w:hAnsi="宋体" w:eastAsia="仿宋_GB2312" w:cs="仿宋_GB2312"/>
          <w:color w:val="000000"/>
          <w:kern w:val="0"/>
          <w:sz w:val="32"/>
          <w:szCs w:val="32"/>
        </w:rPr>
        <w:t>机关事业单位职业年金缴费支出（项）</w:t>
      </w:r>
      <w:r>
        <w:rPr>
          <w:rFonts w:ascii="仿宋_GB2312" w:hAnsi="宋体" w:eastAsia="仿宋_GB2312" w:cs="仿宋_GB2312"/>
          <w:color w:val="000000"/>
          <w:kern w:val="0"/>
          <w:sz w:val="32"/>
          <w:szCs w:val="32"/>
        </w:rPr>
        <w:t>70.21</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kern w:val="0"/>
          <w:sz w:val="32"/>
          <w:szCs w:val="32"/>
        </w:rPr>
        <w:t>比上年执行数</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rPr>
        <w:t>减少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，增长（</w:t>
      </w:r>
      <w:r>
        <w:rPr>
          <w:rFonts w:hint="eastAsia" w:ascii="仿宋_GB2312" w:hAnsi="宋体" w:eastAsia="仿宋_GB2312" w:cs="仿宋_GB2312"/>
          <w:kern w:val="0"/>
          <w:sz w:val="32"/>
          <w:szCs w:val="32"/>
        </w:rPr>
        <w:t>下降</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hAnsi="宋体" w:eastAsia="仿宋_GB2312" w:cs="仿宋_GB2312"/>
          <w:color w:val="000000"/>
          <w:kern w:val="0"/>
          <w:sz w:val="32"/>
          <w:szCs w:val="32"/>
          <w:lang w:eastAsia="zh-CN"/>
        </w:rPr>
        <w:t>不做对比。</w:t>
      </w:r>
    </w:p>
    <w:p>
      <w:pPr>
        <w:widowControl/>
        <w:spacing w:line="580" w:lineRule="exact"/>
        <w:ind w:firstLine="640"/>
        <w:jc w:val="left"/>
        <w:rPr>
          <w:rFonts w:hint="eastAsia" w:ascii="仿宋_GB2312" w:hAnsi="宋体" w:eastAsia="仿宋_GB2312"/>
          <w:color w:val="000000"/>
          <w:kern w:val="0"/>
          <w:sz w:val="32"/>
          <w:szCs w:val="32"/>
          <w:lang w:eastAsia="zh-CN"/>
        </w:rPr>
      </w:pPr>
      <w:r>
        <w:rPr>
          <w:rFonts w:ascii="仿宋_GB2312" w:hAnsi="宋体" w:eastAsia="仿宋_GB2312" w:cs="仿宋_GB2312"/>
          <w:kern w:val="0"/>
          <w:sz w:val="32"/>
          <w:szCs w:val="32"/>
        </w:rPr>
        <w:t>4.2040499</w:t>
      </w:r>
      <w:r>
        <w:rPr>
          <w:rFonts w:hint="eastAsia" w:ascii="仿宋_GB2312" w:eastAsia="仿宋_GB2312" w:cs="仿宋_GB2312"/>
          <w:sz w:val="32"/>
          <w:szCs w:val="32"/>
        </w:rPr>
        <w:t>公共安全支出</w:t>
      </w:r>
      <w:r>
        <w:rPr>
          <w:rFonts w:hint="eastAsia" w:ascii="仿宋_GB2312" w:hAnsi="宋体" w:eastAsia="仿宋_GB2312" w:cs="仿宋_GB2312"/>
          <w:kern w:val="0"/>
          <w:sz w:val="32"/>
          <w:szCs w:val="32"/>
        </w:rPr>
        <w:t>（类）检察（款）</w:t>
      </w:r>
      <w:r>
        <w:rPr>
          <w:rFonts w:hint="eastAsia" w:ascii="仿宋_GB2312" w:eastAsia="仿宋_GB2312" w:cs="仿宋_GB2312"/>
          <w:sz w:val="32"/>
          <w:szCs w:val="32"/>
        </w:rPr>
        <w:t>其他检察支出</w:t>
      </w:r>
      <w:r>
        <w:rPr>
          <w:rFonts w:hint="eastAsia" w:ascii="仿宋_GB2312" w:hAnsi="宋体" w:eastAsia="仿宋_GB2312" w:cs="仿宋_GB2312"/>
          <w:kern w:val="0"/>
          <w:sz w:val="32"/>
          <w:szCs w:val="32"/>
        </w:rPr>
        <w:t>（项）</w:t>
      </w:r>
      <w:r>
        <w:rPr>
          <w:rFonts w:ascii="仿宋_GB2312" w:hAnsi="宋体" w:eastAsia="仿宋_GB2312" w:cs="仿宋_GB2312"/>
          <w:kern w:val="0"/>
          <w:sz w:val="32"/>
          <w:szCs w:val="32"/>
        </w:rPr>
        <w:t>161</w:t>
      </w:r>
      <w:r>
        <w:rPr>
          <w:rFonts w:hint="eastAsia" w:ascii="仿宋_GB2312" w:hAnsi="宋体" w:eastAsia="仿宋_GB2312" w:cs="仿宋_GB2312"/>
          <w:kern w:val="0"/>
          <w:sz w:val="32"/>
          <w:szCs w:val="32"/>
        </w:rPr>
        <w:t>万元，比上年执行数</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rPr>
        <w:t>减少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增长（</w:t>
      </w:r>
      <w:r>
        <w:rPr>
          <w:rFonts w:hint="eastAsia" w:ascii="仿宋_GB2312" w:hAnsi="宋体" w:eastAsia="仿宋_GB2312" w:cs="仿宋_GB2312"/>
          <w:kern w:val="0"/>
          <w:sz w:val="32"/>
          <w:szCs w:val="32"/>
        </w:rPr>
        <w:t>下降</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hAnsi="宋体" w:eastAsia="仿宋_GB2312" w:cs="仿宋_GB2312"/>
          <w:color w:val="000000"/>
          <w:kern w:val="0"/>
          <w:sz w:val="32"/>
          <w:szCs w:val="32"/>
          <w:lang w:eastAsia="zh-CN"/>
        </w:rPr>
        <w:t>不做对比。</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六、关于</w:t>
      </w:r>
      <w:r>
        <w:rPr>
          <w:rFonts w:hint="eastAsia" w:ascii="黑体" w:hAnsi="黑体" w:eastAsia="黑体" w:cs="黑体"/>
          <w:sz w:val="32"/>
          <w:szCs w:val="32"/>
        </w:rPr>
        <w:t>新疆维吾尔自治区人民检察院和田分院</w:t>
      </w:r>
      <w:r>
        <w:rPr>
          <w:rFonts w:ascii="黑体" w:hAnsi="宋体" w:eastAsia="黑体" w:cs="黑体"/>
          <w:kern w:val="0"/>
          <w:sz w:val="32"/>
          <w:szCs w:val="32"/>
        </w:rPr>
        <w:t>2020</w:t>
      </w:r>
      <w:r>
        <w:rPr>
          <w:rFonts w:hint="eastAsia" w:ascii="黑体" w:hAnsi="宋体" w:eastAsia="黑体" w:cs="黑体"/>
          <w:kern w:val="0"/>
          <w:sz w:val="32"/>
          <w:szCs w:val="32"/>
        </w:rPr>
        <w:t>年一般公共预算基本支出情况说明</w:t>
      </w:r>
    </w:p>
    <w:p>
      <w:pPr>
        <w:spacing w:line="560" w:lineRule="exact"/>
        <w:ind w:firstLine="640" w:firstLineChars="200"/>
        <w:rPr>
          <w:rFonts w:ascii="仿宋_GB2312" w:hAnsi="宋体" w:eastAsia="仿宋_GB2312"/>
          <w:kern w:val="0"/>
          <w:sz w:val="32"/>
          <w:szCs w:val="32"/>
        </w:rPr>
      </w:pP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宋体" w:eastAsia="仿宋_GB2312" w:cs="仿宋_GB2312"/>
          <w:kern w:val="0"/>
          <w:sz w:val="32"/>
          <w:szCs w:val="32"/>
        </w:rPr>
        <w:t>年一般公共预算基本支出</w:t>
      </w:r>
      <w:r>
        <w:rPr>
          <w:rFonts w:ascii="仿宋_GB2312" w:hAnsi="宋体" w:eastAsia="仿宋_GB2312" w:cs="仿宋_GB2312"/>
          <w:kern w:val="0"/>
          <w:sz w:val="32"/>
          <w:szCs w:val="32"/>
        </w:rPr>
        <w:t>1691.37</w:t>
      </w:r>
      <w:r>
        <w:rPr>
          <w:rFonts w:hint="eastAsia" w:ascii="仿宋_GB2312" w:hAnsi="宋体" w:eastAsia="仿宋_GB2312" w:cs="仿宋_GB2312"/>
          <w:kern w:val="0"/>
          <w:sz w:val="32"/>
          <w:szCs w:val="32"/>
        </w:rPr>
        <w:t>万元，其中：</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人员经费</w:t>
      </w:r>
      <w:r>
        <w:rPr>
          <w:rFonts w:ascii="仿宋_GB2312" w:hAnsi="宋体" w:eastAsia="仿宋_GB2312" w:cs="仿宋_GB2312"/>
          <w:kern w:val="0"/>
          <w:sz w:val="32"/>
          <w:szCs w:val="32"/>
        </w:rPr>
        <w:t>1458.69</w:t>
      </w:r>
      <w:r>
        <w:rPr>
          <w:rFonts w:hint="eastAsia" w:ascii="仿宋_GB2312" w:hAnsi="宋体" w:eastAsia="仿宋_GB2312" w:cs="仿宋_GB2312"/>
          <w:kern w:val="0"/>
          <w:sz w:val="32"/>
          <w:szCs w:val="32"/>
        </w:rPr>
        <w:t>万元，主要包括：基本工资、津贴补贴、奖金、社会保障缴费、不随工资发放的津补贴、住房公积金、其他工资福利支出、退休费，离休费、生活补助、医疗费，不随工资发放的津补贴，其他对个人和家庭的补助。</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公用经费</w:t>
      </w:r>
      <w:r>
        <w:rPr>
          <w:rFonts w:ascii="仿宋_GB2312" w:hAnsi="宋体" w:eastAsia="仿宋_GB2312" w:cs="仿宋_GB2312"/>
          <w:kern w:val="0"/>
          <w:sz w:val="32"/>
          <w:szCs w:val="32"/>
        </w:rPr>
        <w:t>232.68</w:t>
      </w:r>
      <w:r>
        <w:rPr>
          <w:rFonts w:hint="eastAsia" w:ascii="仿宋_GB2312" w:hAnsi="宋体" w:eastAsia="仿宋_GB2312" w:cs="仿宋_GB2312"/>
          <w:kern w:val="0"/>
          <w:sz w:val="32"/>
          <w:szCs w:val="32"/>
        </w:rPr>
        <w:t>万元，主要包括：办公费、水电费万、邮电费、取暖费、交通费、差旅费、工会经费、福利费、离退休人员活动费。</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七、关于</w:t>
      </w:r>
      <w:r>
        <w:rPr>
          <w:rFonts w:hint="eastAsia" w:ascii="黑体" w:hAnsi="黑体" w:eastAsia="黑体" w:cs="黑体"/>
          <w:sz w:val="32"/>
          <w:szCs w:val="32"/>
        </w:rPr>
        <w:t>新疆维吾尔自治区人民检察院和田分院</w:t>
      </w:r>
      <w:r>
        <w:rPr>
          <w:rFonts w:ascii="黑体" w:hAnsi="宋体" w:eastAsia="黑体" w:cs="黑体"/>
          <w:kern w:val="0"/>
          <w:sz w:val="32"/>
          <w:szCs w:val="32"/>
        </w:rPr>
        <w:t>2020</w:t>
      </w:r>
      <w:r>
        <w:rPr>
          <w:rFonts w:hint="eastAsia" w:ascii="黑体" w:hAnsi="宋体" w:eastAsia="黑体" w:cs="黑体"/>
          <w:kern w:val="0"/>
          <w:sz w:val="32"/>
          <w:szCs w:val="32"/>
        </w:rPr>
        <w:t>年项目支出情况说明</w:t>
      </w:r>
    </w:p>
    <w:p>
      <w:pPr>
        <w:spacing w:line="560" w:lineRule="exact"/>
        <w:ind w:firstLine="643" w:firstLineChars="200"/>
        <w:rPr>
          <w:rFonts w:ascii="仿宋_GB2312" w:hAnsi="黑体" w:eastAsia="仿宋_GB2312"/>
          <w:b/>
          <w:bCs/>
          <w:sz w:val="32"/>
          <w:szCs w:val="32"/>
        </w:rPr>
      </w:pPr>
      <w:r>
        <w:rPr>
          <w:rFonts w:hint="eastAsia" w:ascii="仿宋_GB2312" w:hAnsi="黑体" w:eastAsia="仿宋_GB2312" w:cs="仿宋_GB2312"/>
          <w:b/>
          <w:bCs/>
          <w:sz w:val="32"/>
          <w:szCs w:val="32"/>
        </w:rPr>
        <w:t>情况一：</w:t>
      </w:r>
    </w:p>
    <w:p>
      <w:pPr>
        <w:spacing w:line="560" w:lineRule="exact"/>
        <w:ind w:firstLine="640" w:firstLineChars="200"/>
        <w:rPr>
          <w:rFonts w:ascii="仿宋_GB2312" w:hAnsi="宋体" w:eastAsia="仿宋_GB2312"/>
          <w:kern w:val="0"/>
          <w:sz w:val="32"/>
          <w:szCs w:val="32"/>
        </w:rPr>
      </w:pPr>
      <w:r>
        <w:rPr>
          <w:rFonts w:hint="eastAsia" w:ascii="仿宋_GB2312" w:hAnsi="黑体" w:eastAsia="仿宋_GB2312" w:cs="仿宋_GB2312"/>
          <w:sz w:val="32"/>
          <w:szCs w:val="32"/>
        </w:rPr>
        <w:t>项目名称</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名聘任书记员工资</w:t>
      </w:r>
      <w:r>
        <w:rPr>
          <w:rFonts w:hint="eastAsia" w:ascii="仿宋_GB2312" w:hAnsi="宋体" w:eastAsia="仿宋_GB2312" w:cs="仿宋_GB2312"/>
          <w:kern w:val="0"/>
          <w:sz w:val="32"/>
          <w:szCs w:val="32"/>
        </w:rPr>
        <w:t>项目</w:t>
      </w:r>
    </w:p>
    <w:p>
      <w:pPr>
        <w:spacing w:line="560" w:lineRule="exact"/>
        <w:ind w:firstLine="640" w:firstLineChars="200"/>
        <w:rPr>
          <w:rFonts w:ascii="仿宋_GB2312" w:hAnsi="宋体" w:eastAsia="仿宋_GB2312"/>
          <w:kern w:val="0"/>
          <w:sz w:val="32"/>
          <w:szCs w:val="32"/>
        </w:rPr>
      </w:pPr>
      <w:r>
        <w:rPr>
          <w:rFonts w:hint="eastAsia" w:ascii="仿宋_GB2312" w:hAnsi="黑体" w:eastAsia="仿宋_GB2312" w:cs="仿宋_GB2312"/>
          <w:sz w:val="32"/>
          <w:szCs w:val="32"/>
        </w:rPr>
        <w:t>设立的政策依据：</w:t>
      </w:r>
      <w:r>
        <w:rPr>
          <w:rFonts w:hint="eastAsia" w:ascii="仿宋_GB2312" w:hAnsi="宋体" w:eastAsia="仿宋_GB2312" w:cs="仿宋_GB2312"/>
          <w:kern w:val="0"/>
          <w:sz w:val="32"/>
          <w:szCs w:val="32"/>
        </w:rPr>
        <w:t>本项目的实施是司法体制改革的客观需要，有利于满足检察队伍工作的需要。根据《中共中央组织部、中共中央政法委员会、最高人民检察院关于印发（检察官助理和书记员职务序列改革试点方案）的通知》及和田地区《人民法院、人民检察院聘用书记员管理制度改革方案（试行）》等有关规定，按照中央确定的检察官、检察辅助人员、司法行政人员三类比例，在现有中央政法专项编制内，满足检察队伍的需要。每一个案件的办理都是需要员额检察官、检察官助理、书记员等人员共同完成的，支援司法辅助人员配备到位，履职到位，员额检察官才能集中精力办好案件，才能有效保证办理案件工作的质效。按照公开、平等、竞争、择优的原则，通过报名、笔试、资格审查、政审、面试、体检、公示等程序进行。由地县两级检察院审核无误后，与聘用人员签订劳动合同，同时向各级人力资源和社会保障部门进行报备。聘用制书记员岗位职责包括案件办理中的记录工作、庭前准备以及开庭时准备的事务性工作，整理、装订、归档案卷材料以及其他与案卷审理相关的事务性工作。</w:t>
      </w:r>
    </w:p>
    <w:p>
      <w:pPr>
        <w:spacing w:line="56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预算安排规模：</w:t>
      </w:r>
      <w:r>
        <w:rPr>
          <w:rFonts w:ascii="仿宋_GB2312" w:hAnsi="宋体" w:eastAsia="仿宋_GB2312" w:cs="仿宋_GB2312"/>
          <w:kern w:val="0"/>
          <w:sz w:val="32"/>
          <w:szCs w:val="32"/>
        </w:rPr>
        <w:t>161</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项目承担单位：</w:t>
      </w:r>
      <w:r>
        <w:rPr>
          <w:rFonts w:hint="eastAsia" w:ascii="仿宋_GB2312" w:hAnsi="仿宋_GB2312" w:eastAsia="仿宋_GB2312" w:cs="仿宋_GB2312"/>
          <w:sz w:val="32"/>
          <w:szCs w:val="32"/>
        </w:rPr>
        <w:t>新疆维吾尔自治区人民检察院和田分院资金分配情况：</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名聘任书记员</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月工资</w:t>
      </w:r>
      <w:r>
        <w:rPr>
          <w:rFonts w:ascii="仿宋_GB2312" w:hAnsi="仿宋_GB2312" w:eastAsia="仿宋_GB2312" w:cs="仿宋_GB2312"/>
          <w:sz w:val="32"/>
          <w:szCs w:val="32"/>
        </w:rPr>
        <w:t>161</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宋体" w:eastAsia="仿宋_GB2312"/>
          <w:kern w:val="0"/>
          <w:sz w:val="32"/>
          <w:szCs w:val="32"/>
        </w:rPr>
      </w:pPr>
      <w:r>
        <w:rPr>
          <w:rFonts w:hint="eastAsia" w:ascii="仿宋_GB2312" w:hAnsi="黑体" w:eastAsia="仿宋_GB2312" w:cs="仿宋_GB2312"/>
          <w:sz w:val="32"/>
          <w:szCs w:val="32"/>
        </w:rPr>
        <w:t>执行时间：</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日</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31</w:t>
      </w:r>
      <w:r>
        <w:rPr>
          <w:rFonts w:hint="eastAsia" w:ascii="仿宋_GB2312" w:hAnsi="宋体" w:eastAsia="仿宋_GB2312" w:cs="仿宋_GB2312"/>
          <w:kern w:val="0"/>
          <w:sz w:val="32"/>
          <w:szCs w:val="32"/>
        </w:rPr>
        <w:t>日。</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资金来源</w:t>
      </w:r>
      <w:r>
        <w:rPr>
          <w:rFonts w:hint="eastAsia" w:ascii="仿宋_GB2312" w:hAnsi="黑体" w:eastAsia="仿宋_GB2312" w:cs="仿宋_GB2312"/>
          <w:sz w:val="32"/>
          <w:szCs w:val="32"/>
        </w:rPr>
        <w:t>：</w:t>
      </w:r>
      <w:r>
        <w:rPr>
          <w:rFonts w:hint="eastAsia" w:ascii="仿宋_GB2312" w:hAnsi="宋体" w:eastAsia="仿宋_GB2312" w:cs="仿宋_GB2312"/>
          <w:kern w:val="0"/>
          <w:sz w:val="32"/>
          <w:szCs w:val="32"/>
        </w:rPr>
        <w:t>财政拨款</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补贴人数</w:t>
      </w:r>
      <w:r>
        <w:rPr>
          <w:rFonts w:hint="eastAsia" w:ascii="仿宋_GB2312" w:hAnsi="黑体" w:eastAsia="仿宋_GB2312" w:cs="仿宋_GB2312"/>
          <w:sz w:val="32"/>
          <w:szCs w:val="32"/>
        </w:rPr>
        <w:t>：</w:t>
      </w: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人</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补贴标准</w:t>
      </w:r>
      <w:r>
        <w:rPr>
          <w:rFonts w:hint="eastAsia" w:ascii="仿宋_GB2312" w:hAnsi="黑体" w:eastAsia="仿宋_GB2312" w:cs="仿宋_GB2312"/>
          <w:sz w:val="32"/>
          <w:szCs w:val="32"/>
        </w:rPr>
        <w:t>：</w:t>
      </w:r>
      <w:r>
        <w:rPr>
          <w:rFonts w:hint="eastAsia" w:ascii="仿宋_GB2312" w:hAnsi="宋体" w:eastAsia="仿宋_GB2312" w:cs="仿宋_GB2312"/>
          <w:kern w:val="0"/>
          <w:sz w:val="32"/>
          <w:szCs w:val="32"/>
        </w:rPr>
        <w:t>大专</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名，每人月工资</w:t>
      </w:r>
      <w:r>
        <w:rPr>
          <w:rFonts w:ascii="仿宋_GB2312" w:hAnsi="宋体" w:eastAsia="仿宋_GB2312" w:cs="仿宋_GB2312"/>
          <w:kern w:val="0"/>
          <w:sz w:val="32"/>
          <w:szCs w:val="32"/>
        </w:rPr>
        <w:t>6676</w:t>
      </w:r>
      <w:r>
        <w:rPr>
          <w:rFonts w:hint="eastAsia" w:ascii="仿宋_GB2312" w:hAnsi="宋体" w:eastAsia="仿宋_GB2312" w:cs="仿宋_GB2312"/>
          <w:kern w:val="0"/>
          <w:sz w:val="32"/>
          <w:szCs w:val="32"/>
        </w:rPr>
        <w:t>元。本科</w:t>
      </w: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名，</w:t>
      </w:r>
      <w:r>
        <w:rPr>
          <w:rFonts w:ascii="仿宋_GB2312" w:hAnsi="宋体" w:eastAsia="仿宋_GB2312" w:cs="仿宋_GB2312"/>
          <w:kern w:val="0"/>
          <w:sz w:val="32"/>
          <w:szCs w:val="32"/>
        </w:rPr>
        <w:t>6747</w:t>
      </w:r>
      <w:r>
        <w:rPr>
          <w:rFonts w:hint="eastAsia" w:ascii="仿宋_GB2312" w:hAnsi="宋体" w:eastAsia="仿宋_GB2312" w:cs="仿宋_GB2312"/>
          <w:kern w:val="0"/>
          <w:sz w:val="32"/>
          <w:szCs w:val="32"/>
        </w:rPr>
        <w:t>元。</w:t>
      </w:r>
    </w:p>
    <w:p>
      <w:pPr>
        <w:spacing w:line="560" w:lineRule="exact"/>
        <w:ind w:firstLine="640" w:firstLineChars="200"/>
        <w:rPr>
          <w:rFonts w:ascii="仿宋_GB2312" w:hAnsi="黑体" w:eastAsia="仿宋_GB2312"/>
          <w:sz w:val="32"/>
          <w:szCs w:val="32"/>
        </w:rPr>
      </w:pPr>
      <w:r>
        <w:rPr>
          <w:rFonts w:hint="eastAsia" w:ascii="仿宋_GB2312" w:hAnsi="宋体" w:eastAsia="仿宋_GB2312" w:cs="仿宋_GB2312"/>
          <w:sz w:val="32"/>
          <w:szCs w:val="32"/>
        </w:rPr>
        <w:t>补贴范围</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名聘任书记员</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sz w:val="32"/>
          <w:szCs w:val="32"/>
        </w:rPr>
        <w:t>补贴方式</w:t>
      </w:r>
      <w:r>
        <w:rPr>
          <w:rFonts w:hint="eastAsia" w:ascii="仿宋_GB2312" w:hAnsi="黑体" w:eastAsia="仿宋_GB2312" w:cs="仿宋_GB2312"/>
          <w:sz w:val="32"/>
          <w:szCs w:val="32"/>
        </w:rPr>
        <w:t>：</w:t>
      </w:r>
      <w:r>
        <w:rPr>
          <w:rFonts w:hint="eastAsia" w:ascii="仿宋_GB2312" w:hAnsi="宋体" w:eastAsia="仿宋_GB2312" w:cs="仿宋_GB2312"/>
          <w:kern w:val="0"/>
          <w:sz w:val="32"/>
          <w:szCs w:val="32"/>
        </w:rPr>
        <w:t>按月发放</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仿宋_GB2312"/>
          <w:kern w:val="0"/>
          <w:sz w:val="32"/>
          <w:szCs w:val="32"/>
        </w:rPr>
        <w:t>发放程序：财政拨付</w:t>
      </w:r>
    </w:p>
    <w:p>
      <w:pPr>
        <w:spacing w:line="560" w:lineRule="exact"/>
        <w:ind w:firstLine="640" w:firstLineChars="200"/>
        <w:rPr>
          <w:rFonts w:ascii="仿宋_GB2312" w:hAnsi="黑体" w:eastAsia="仿宋_GB2312"/>
          <w:sz w:val="32"/>
          <w:szCs w:val="32"/>
        </w:rPr>
      </w:pPr>
      <w:r>
        <w:rPr>
          <w:rFonts w:hint="eastAsia" w:ascii="仿宋_GB2312" w:hAnsi="宋体" w:eastAsia="仿宋_GB2312" w:cs="仿宋_GB2312"/>
          <w:sz w:val="32"/>
          <w:szCs w:val="32"/>
        </w:rPr>
        <w:t>受益人群和社会效益</w:t>
      </w:r>
      <w:r>
        <w:rPr>
          <w:rFonts w:hint="eastAsia" w:ascii="仿宋_GB2312" w:hAnsi="黑体" w:eastAsia="仿宋_GB2312" w:cs="仿宋_GB2312"/>
          <w:sz w:val="32"/>
          <w:szCs w:val="32"/>
        </w:rPr>
        <w:t>：提高办案效率和办案质量，带动人员就业。</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八、关于</w:t>
      </w:r>
      <w:r>
        <w:rPr>
          <w:rFonts w:hint="eastAsia" w:ascii="黑体" w:hAnsi="黑体" w:eastAsia="黑体" w:cs="黑体"/>
          <w:sz w:val="32"/>
          <w:szCs w:val="32"/>
        </w:rPr>
        <w:t>新疆维吾尔自治区人民检察院和田分院</w:t>
      </w:r>
      <w:r>
        <w:rPr>
          <w:rFonts w:ascii="黑体" w:hAnsi="宋体" w:eastAsia="黑体" w:cs="黑体"/>
          <w:kern w:val="0"/>
          <w:sz w:val="32"/>
          <w:szCs w:val="32"/>
        </w:rPr>
        <w:t>2020</w:t>
      </w:r>
      <w:r>
        <w:rPr>
          <w:rFonts w:hint="eastAsia" w:ascii="黑体" w:hAnsi="宋体" w:eastAsia="黑体" w:cs="黑体"/>
          <w:kern w:val="0"/>
          <w:sz w:val="32"/>
          <w:szCs w:val="32"/>
        </w:rPr>
        <w:t>年一般公共预算“三公”经费预算情况说明</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新疆维吾尔自治区人民检察院和田分院2020年“三公”经费财政拨款预算数为*万元，其中：因公出国（境）费0万元，公务用车购置0万元，公务用车运行费*万元，公务接待费0万元。</w:t>
      </w:r>
    </w:p>
    <w:p>
      <w:pPr>
        <w:spacing w:line="560" w:lineRule="exact"/>
        <w:ind w:firstLine="640" w:firstLineChars="200"/>
        <w:rPr>
          <w:rFonts w:hint="eastAsia" w:ascii="仿宋_GB2312" w:hAnsi="宋体" w:eastAsia="仿宋_GB2312" w:cs="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年“三公”经费财政拨款预算比上年增加（减少）</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万元，其中：因公出国（境）费为</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，未安排预算。公务用车购置费为</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，未安排预算。公务用车运行费增加（减少）</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万元，主要原因是</w:t>
      </w:r>
      <w:r>
        <w:rPr>
          <w:rFonts w:hint="eastAsia" w:ascii="仿宋_GB2312" w:hAnsi="宋体" w:eastAsia="仿宋_GB2312" w:cs="仿宋_GB2312"/>
          <w:kern w:val="0"/>
          <w:sz w:val="32"/>
          <w:szCs w:val="32"/>
          <w:lang w:eastAsia="zh-CN"/>
        </w:rPr>
        <w:t>不公开</w:t>
      </w:r>
      <w:r>
        <w:rPr>
          <w:rFonts w:hint="eastAsia" w:ascii="仿宋_GB2312" w:hAnsi="宋体" w:eastAsia="仿宋_GB2312" w:cs="仿宋_GB2312"/>
          <w:kern w:val="0"/>
          <w:sz w:val="32"/>
          <w:szCs w:val="32"/>
        </w:rPr>
        <w:t>；公务接待费</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，未安排预算。</w:t>
      </w:r>
    </w:p>
    <w:p>
      <w:pPr>
        <w:spacing w:line="560" w:lineRule="exact"/>
        <w:ind w:firstLine="643" w:firstLineChars="200"/>
        <w:rPr>
          <w:rFonts w:hint="eastAsia" w:ascii="仿宋_GB2312" w:hAnsi="宋体" w:eastAsia="仿宋_GB2312" w:cs="仿宋_GB2312"/>
          <w:b/>
          <w:bCs/>
          <w:kern w:val="0"/>
          <w:sz w:val="32"/>
          <w:szCs w:val="32"/>
          <w:lang w:eastAsia="zh-CN"/>
        </w:rPr>
      </w:pPr>
      <w:r>
        <w:rPr>
          <w:rFonts w:hint="eastAsia" w:ascii="仿宋_GB2312" w:hAnsi="宋体" w:eastAsia="仿宋_GB2312" w:cs="仿宋_GB2312"/>
          <w:b/>
          <w:bCs/>
          <w:kern w:val="0"/>
          <w:sz w:val="32"/>
          <w:szCs w:val="32"/>
          <w:lang w:eastAsia="zh-CN"/>
        </w:rPr>
        <w:t>涉密不公开</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九、关于</w:t>
      </w:r>
      <w:r>
        <w:rPr>
          <w:rFonts w:hint="eastAsia" w:ascii="黑体" w:hAnsi="黑体" w:eastAsia="黑体" w:cs="黑体"/>
          <w:sz w:val="32"/>
          <w:szCs w:val="32"/>
        </w:rPr>
        <w:t>新疆维吾尔自治区人民检察院和田分院</w:t>
      </w:r>
      <w:r>
        <w:rPr>
          <w:rFonts w:ascii="黑体" w:hAnsi="宋体" w:eastAsia="黑体" w:cs="黑体"/>
          <w:kern w:val="0"/>
          <w:sz w:val="32"/>
          <w:szCs w:val="32"/>
        </w:rPr>
        <w:t>2020</w:t>
      </w:r>
      <w:r>
        <w:rPr>
          <w:rFonts w:hint="eastAsia" w:ascii="黑体" w:hAnsi="宋体" w:eastAsia="黑体" w:cs="黑体"/>
          <w:kern w:val="0"/>
          <w:sz w:val="32"/>
          <w:szCs w:val="32"/>
        </w:rPr>
        <w:t>年政府性基金预算拨款情况说明</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sz w:val="32"/>
          <w:szCs w:val="32"/>
        </w:rPr>
        <w:t>新疆维吾尔自治区人民检察院和田分院</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十、其他重要事项的情况说明</w:t>
      </w:r>
    </w:p>
    <w:p>
      <w:pPr>
        <w:spacing w:line="560" w:lineRule="exact"/>
        <w:ind w:firstLine="643" w:firstLineChars="200"/>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（一）机关运行经费情况</w:t>
      </w:r>
    </w:p>
    <w:p>
      <w:pPr>
        <w:spacing w:line="560"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sz w:val="32"/>
          <w:szCs w:val="32"/>
        </w:rPr>
        <w:t>新疆维吾尔自治区人民检察院和田分院</w:t>
      </w:r>
      <w:r>
        <w:rPr>
          <w:rFonts w:hint="eastAsia" w:ascii="仿宋_GB2312" w:hAnsi="仿宋_GB2312" w:eastAsia="仿宋_GB2312" w:cs="仿宋_GB2312"/>
          <w:kern w:val="0"/>
          <w:sz w:val="32"/>
          <w:szCs w:val="32"/>
        </w:rPr>
        <w:t>本级及下属</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家行政单位和</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家事业单位的机关运行经费财政拨款预算</w:t>
      </w:r>
      <w:r>
        <w:rPr>
          <w:rFonts w:ascii="仿宋_GB2312" w:hAnsi="仿宋_GB2312" w:eastAsia="仿宋_GB2312" w:cs="仿宋_GB2312"/>
          <w:kern w:val="0"/>
          <w:sz w:val="32"/>
          <w:szCs w:val="32"/>
        </w:rPr>
        <w:t>1852.37</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下降</w:t>
      </w:r>
      <w:r>
        <w:rPr>
          <w:rFonts w:hint="eastAsia" w:ascii="仿宋_GB2312" w:hAnsi="仿宋_GB2312" w:eastAsia="仿宋_GB2312" w:cs="仿宋_GB2312"/>
          <w:kern w:val="0"/>
          <w:sz w:val="32"/>
          <w:szCs w:val="32"/>
          <w:lang w:val="en-US" w:eastAsia="zh-CN"/>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不做对比</w:t>
      </w:r>
      <w:r>
        <w:rPr>
          <w:rFonts w:hint="eastAsia" w:ascii="仿宋_GB2312" w:hAnsi="仿宋_GB2312" w:eastAsia="仿宋_GB2312" w:cs="仿宋_GB2312"/>
          <w:kern w:val="0"/>
          <w:sz w:val="32"/>
          <w:szCs w:val="32"/>
        </w:rPr>
        <w:t>。</w:t>
      </w:r>
    </w:p>
    <w:p>
      <w:pPr>
        <w:spacing w:line="560" w:lineRule="exact"/>
        <w:ind w:firstLine="643" w:firstLineChars="200"/>
        <w:rPr>
          <w:rFonts w:ascii="楷体_GB2312" w:hAnsi="宋体" w:eastAsia="楷体_GB2312"/>
          <w:b/>
          <w:bCs/>
          <w:kern w:val="0"/>
          <w:sz w:val="32"/>
          <w:szCs w:val="32"/>
          <w:highlight w:val="yellow"/>
        </w:rPr>
      </w:pPr>
      <w:r>
        <w:rPr>
          <w:rFonts w:hint="eastAsia" w:ascii="楷体_GB2312" w:hAnsi="宋体" w:eastAsia="楷体_GB2312" w:cs="楷体_GB2312"/>
          <w:b/>
          <w:bCs/>
          <w:kern w:val="0"/>
          <w:sz w:val="32"/>
          <w:szCs w:val="32"/>
        </w:rPr>
        <w:t>（二）政府采购情况</w:t>
      </w:r>
    </w:p>
    <w:p>
      <w:pPr>
        <w:spacing w:line="560" w:lineRule="exact"/>
        <w:ind w:firstLine="640" w:firstLineChars="200"/>
        <w:rPr>
          <w:rFonts w:ascii="仿宋_GB2312" w:hAnsi="宋体" w:eastAsia="仿宋_GB2312"/>
          <w:kern w:val="0"/>
          <w:sz w:val="32"/>
          <w:szCs w:val="32"/>
        </w:rPr>
      </w:pP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sz w:val="32"/>
          <w:szCs w:val="32"/>
        </w:rPr>
        <w:t>新疆维吾尔自治区人民检察院和田分院</w:t>
      </w:r>
      <w:r>
        <w:rPr>
          <w:rFonts w:hint="eastAsia" w:ascii="仿宋_GB2312" w:hAnsi="仿宋_GB2312" w:eastAsia="仿宋_GB2312" w:cs="仿宋_GB2312"/>
          <w:kern w:val="0"/>
          <w:sz w:val="32"/>
          <w:szCs w:val="32"/>
        </w:rPr>
        <w:t>及下属单位政府采购</w:t>
      </w:r>
      <w:r>
        <w:rPr>
          <w:rFonts w:hint="eastAsia" w:ascii="仿宋_GB2312" w:hAnsi="宋体" w:eastAsia="仿宋_GB2312" w:cs="仿宋_GB2312"/>
          <w:kern w:val="0"/>
          <w:sz w:val="32"/>
          <w:szCs w:val="32"/>
        </w:rPr>
        <w:t>预算</w:t>
      </w:r>
      <w:r>
        <w:rPr>
          <w:rFonts w:ascii="仿宋_GB2312" w:hAnsi="宋体" w:eastAsia="仿宋_GB2312" w:cs="仿宋_GB2312"/>
          <w:kern w:val="0"/>
          <w:sz w:val="32"/>
          <w:szCs w:val="32"/>
        </w:rPr>
        <w:t>171.98</w:t>
      </w:r>
      <w:r>
        <w:rPr>
          <w:rFonts w:hint="eastAsia" w:ascii="仿宋_GB2312" w:hAnsi="宋体" w:eastAsia="仿宋_GB2312" w:cs="仿宋_GB2312"/>
          <w:kern w:val="0"/>
          <w:sz w:val="32"/>
          <w:szCs w:val="32"/>
        </w:rPr>
        <w:t>万元，其中：政府采购货物预算</w:t>
      </w:r>
      <w:r>
        <w:rPr>
          <w:rFonts w:ascii="仿宋_GB2312" w:hAnsi="宋体" w:eastAsia="仿宋_GB2312" w:cs="仿宋_GB2312"/>
          <w:kern w:val="0"/>
          <w:sz w:val="32"/>
          <w:szCs w:val="32"/>
        </w:rPr>
        <w:t>78.17</w:t>
      </w:r>
      <w:r>
        <w:rPr>
          <w:rFonts w:hint="eastAsia" w:ascii="仿宋_GB2312" w:hAnsi="宋体" w:eastAsia="仿宋_GB2312" w:cs="仿宋_GB2312"/>
          <w:kern w:val="0"/>
          <w:sz w:val="32"/>
          <w:szCs w:val="32"/>
        </w:rPr>
        <w:t>万元，政府采购工程预算</w:t>
      </w:r>
      <w:r>
        <w:rPr>
          <w:rFonts w:ascii="仿宋_GB2312" w:hAnsi="宋体" w:eastAsia="仿宋_GB2312" w:cs="仿宋_GB2312"/>
          <w:kern w:val="0"/>
          <w:sz w:val="32"/>
          <w:szCs w:val="32"/>
        </w:rPr>
        <w:t>6.12</w:t>
      </w:r>
      <w:r>
        <w:rPr>
          <w:rFonts w:hint="eastAsia" w:ascii="仿宋_GB2312" w:hAnsi="宋体" w:eastAsia="仿宋_GB2312" w:cs="仿宋_GB2312"/>
          <w:kern w:val="0"/>
          <w:sz w:val="32"/>
          <w:szCs w:val="32"/>
        </w:rPr>
        <w:t>万元，政府采购服务预算</w:t>
      </w:r>
      <w:r>
        <w:rPr>
          <w:rFonts w:ascii="仿宋_GB2312" w:hAnsi="宋体" w:eastAsia="仿宋_GB2312" w:cs="仿宋_GB2312"/>
          <w:kern w:val="0"/>
          <w:sz w:val="32"/>
          <w:szCs w:val="32"/>
        </w:rPr>
        <w:t>87.69</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年度本部门面向中小企业预留政府采购项目预算金额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万元，其中：面向小微企业预留政府采购项目预算金额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560" w:lineRule="exact"/>
        <w:ind w:firstLine="643" w:firstLineChars="200"/>
        <w:rPr>
          <w:rFonts w:hint="eastAsia" w:ascii="楷体_GB2312" w:hAnsi="宋体" w:eastAsia="楷体_GB2312"/>
          <w:b/>
          <w:bCs/>
          <w:kern w:val="0"/>
          <w:sz w:val="32"/>
          <w:szCs w:val="32"/>
          <w:lang w:eastAsia="zh-CN"/>
        </w:rPr>
      </w:pPr>
      <w:r>
        <w:rPr>
          <w:rFonts w:hint="eastAsia" w:ascii="楷体_GB2312" w:hAnsi="宋体" w:eastAsia="楷体_GB2312" w:cs="楷体_GB2312"/>
          <w:b/>
          <w:bCs/>
          <w:kern w:val="0"/>
          <w:sz w:val="32"/>
          <w:szCs w:val="32"/>
        </w:rPr>
        <w:t>（三）国有资产占用使用情况：</w:t>
      </w:r>
      <w:r>
        <w:rPr>
          <w:rFonts w:hint="eastAsia" w:ascii="楷体_GB2312" w:hAnsi="宋体" w:eastAsia="楷体_GB2312" w:cs="楷体_GB2312"/>
          <w:b/>
          <w:bCs/>
          <w:kern w:val="0"/>
          <w:sz w:val="32"/>
          <w:szCs w:val="32"/>
          <w:lang w:eastAsia="zh-CN"/>
        </w:rPr>
        <w:t>（不公开）</w:t>
      </w:r>
    </w:p>
    <w:p>
      <w:pPr>
        <w:spacing w:line="56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截至</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年底，</w:t>
      </w:r>
      <w:r>
        <w:rPr>
          <w:rFonts w:hint="eastAsia" w:ascii="仿宋_GB2312" w:hAnsi="仿宋_GB2312" w:eastAsia="仿宋_GB2312" w:cs="仿宋_GB2312"/>
          <w:sz w:val="32"/>
          <w:szCs w:val="32"/>
        </w:rPr>
        <w:t>新疆维吾尔自治区人民检察院和田分院</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房屋</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平方米，价值</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车辆</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万元；其中：一般公务用车</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万元；执法执勤用车</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万元；其他车辆</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辆，价值</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办公家具价值</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其他资产价值</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万元。</w:t>
      </w:r>
    </w:p>
    <w:p>
      <w:pPr>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单位价值</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台（套），单位价值</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年部门预算未安排购置车辆经费，安排购置</w:t>
      </w:r>
      <w:r>
        <w:rPr>
          <w:rFonts w:ascii="仿宋_GB2312" w:hAnsi="宋体" w:eastAsia="仿宋_GB2312" w:cs="仿宋_GB2312"/>
          <w:kern w:val="0"/>
          <w:sz w:val="32"/>
          <w:szCs w:val="32"/>
        </w:rPr>
        <w:t>50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台（套），单位价值</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万元以上大型设备</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台（套）。</w:t>
      </w:r>
    </w:p>
    <w:p>
      <w:pPr>
        <w:spacing w:line="560" w:lineRule="exact"/>
        <w:ind w:firstLine="643" w:firstLineChars="200"/>
        <w:rPr>
          <w:rFonts w:ascii="楷体_GB2312" w:hAnsi="宋体" w:eastAsia="楷体_GB2312"/>
          <w:b/>
          <w:bCs/>
          <w:kern w:val="0"/>
          <w:sz w:val="32"/>
          <w:szCs w:val="32"/>
        </w:rPr>
      </w:pPr>
      <w:r>
        <w:rPr>
          <w:rFonts w:hint="eastAsia" w:ascii="楷体_GB2312" w:hAnsi="宋体" w:eastAsia="楷体_GB2312" w:cs="楷体_GB2312"/>
          <w:b/>
          <w:bCs/>
          <w:kern w:val="0"/>
          <w:sz w:val="32"/>
          <w:szCs w:val="32"/>
        </w:rPr>
        <w:t>（四）预算绩效情况</w:t>
      </w:r>
    </w:p>
    <w:p>
      <w:pPr>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年度，本年度实行绩效管理的项目</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个，涉及预算金额</w:t>
      </w:r>
      <w:r>
        <w:rPr>
          <w:rFonts w:ascii="仿宋_GB2312" w:hAnsi="宋体" w:eastAsia="仿宋_GB2312" w:cs="仿宋_GB2312"/>
          <w:kern w:val="0"/>
          <w:sz w:val="32"/>
          <w:szCs w:val="32"/>
        </w:rPr>
        <w:t>1852.37</w:t>
      </w:r>
      <w:r>
        <w:rPr>
          <w:rFonts w:hint="eastAsia" w:ascii="仿宋_GB2312" w:hAnsi="宋体" w:eastAsia="仿宋_GB2312" w:cs="仿宋_GB2312"/>
          <w:kern w:val="0"/>
          <w:sz w:val="32"/>
          <w:szCs w:val="32"/>
        </w:rPr>
        <w:t>万元。具体情况见下表（按项目分别填报）：</w:t>
      </w:r>
    </w:p>
    <w:p>
      <w:pPr>
        <w:widowControl/>
        <w:spacing w:line="600" w:lineRule="exact"/>
        <w:rPr>
          <w:rFonts w:ascii="仿宋_GB2312" w:hAnsi="宋体" w:eastAsia="仿宋_GB2312"/>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10"/>
        <w:tblW w:w="14055" w:type="dxa"/>
        <w:tblInd w:w="-106" w:type="dxa"/>
        <w:tblLayout w:type="fixed"/>
        <w:tblCellMar>
          <w:top w:w="0" w:type="dxa"/>
          <w:left w:w="108" w:type="dxa"/>
          <w:bottom w:w="0" w:type="dxa"/>
          <w:right w:w="108" w:type="dxa"/>
        </w:tblCellMar>
      </w:tblPr>
      <w:tblGrid>
        <w:gridCol w:w="2208"/>
        <w:gridCol w:w="1867"/>
        <w:gridCol w:w="1673"/>
        <w:gridCol w:w="502"/>
        <w:gridCol w:w="1171"/>
        <w:gridCol w:w="325"/>
        <w:gridCol w:w="325"/>
        <w:gridCol w:w="1936"/>
        <w:gridCol w:w="251"/>
        <w:gridCol w:w="1138"/>
        <w:gridCol w:w="2155"/>
        <w:gridCol w:w="251"/>
        <w:gridCol w:w="253"/>
      </w:tblGrid>
      <w:tr>
        <w:tblPrEx>
          <w:tblLayout w:type="fixed"/>
          <w:tblCellMar>
            <w:top w:w="0" w:type="dxa"/>
            <w:left w:w="108" w:type="dxa"/>
            <w:bottom w:w="0" w:type="dxa"/>
            <w:right w:w="108" w:type="dxa"/>
          </w:tblCellMar>
        </w:tblPrEx>
        <w:trPr>
          <w:trHeight w:val="317" w:hRule="atLeast"/>
        </w:trPr>
        <w:tc>
          <w:tcPr>
            <w:tcW w:w="14055" w:type="dxa"/>
            <w:gridSpan w:val="13"/>
            <w:tcBorders>
              <w:top w:val="nil"/>
              <w:left w:val="nil"/>
              <w:bottom w:val="nil"/>
              <w:right w:val="nil"/>
            </w:tcBorders>
            <w:vAlign w:val="bottom"/>
          </w:tcPr>
          <w:p>
            <w:pPr>
              <w:widowControl/>
              <w:jc w:val="center"/>
              <w:outlineLvl w:val="1"/>
              <w:rPr>
                <w:rFonts w:ascii="宋体"/>
                <w:b/>
                <w:bCs/>
                <w:kern w:val="0"/>
                <w:sz w:val="32"/>
                <w:szCs w:val="32"/>
              </w:rPr>
            </w:pPr>
            <w:r>
              <w:rPr>
                <w:rFonts w:hint="eastAsia" w:ascii="仿宋_GB2312" w:hAnsi="宋体" w:eastAsia="仿宋_GB2312" w:cs="仿宋_GB2312"/>
                <w:b/>
                <w:bCs/>
                <w:kern w:val="0"/>
                <w:sz w:val="32"/>
                <w:szCs w:val="32"/>
              </w:rPr>
              <w:t>项</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支</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出</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绩</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效</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目</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标</w:t>
            </w:r>
            <w:r>
              <w:rPr>
                <w:rFonts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rPr>
              <w:t>表</w:t>
            </w:r>
          </w:p>
        </w:tc>
      </w:tr>
      <w:tr>
        <w:tblPrEx>
          <w:tblLayout w:type="fixed"/>
          <w:tblCellMar>
            <w:top w:w="0" w:type="dxa"/>
            <w:left w:w="108" w:type="dxa"/>
            <w:bottom w:w="0" w:type="dxa"/>
            <w:right w:w="108" w:type="dxa"/>
          </w:tblCellMar>
        </w:tblPrEx>
        <w:trPr>
          <w:trHeight w:val="211" w:hRule="atLeast"/>
        </w:trPr>
        <w:tc>
          <w:tcPr>
            <w:tcW w:w="2208" w:type="dxa"/>
            <w:tcBorders>
              <w:top w:val="nil"/>
              <w:left w:val="nil"/>
              <w:bottom w:val="nil"/>
              <w:right w:val="nil"/>
            </w:tcBorders>
            <w:vAlign w:val="bottom"/>
          </w:tcPr>
          <w:p>
            <w:pPr>
              <w:widowControl/>
              <w:jc w:val="left"/>
              <w:rPr>
                <w:rFonts w:ascii="宋体"/>
                <w:color w:val="000000"/>
                <w:kern w:val="0"/>
                <w:sz w:val="22"/>
                <w:szCs w:val="22"/>
              </w:rPr>
            </w:pPr>
          </w:p>
        </w:tc>
        <w:tc>
          <w:tcPr>
            <w:tcW w:w="1867" w:type="dxa"/>
            <w:tcBorders>
              <w:top w:val="nil"/>
              <w:left w:val="nil"/>
              <w:bottom w:val="nil"/>
              <w:right w:val="nil"/>
            </w:tcBorders>
            <w:vAlign w:val="bottom"/>
          </w:tcPr>
          <w:p>
            <w:pPr>
              <w:widowControl/>
              <w:jc w:val="left"/>
              <w:rPr>
                <w:rFonts w:ascii="宋体"/>
                <w:color w:val="000000"/>
                <w:kern w:val="0"/>
                <w:sz w:val="22"/>
                <w:szCs w:val="22"/>
              </w:rPr>
            </w:pPr>
          </w:p>
        </w:tc>
        <w:tc>
          <w:tcPr>
            <w:tcW w:w="1673" w:type="dxa"/>
            <w:tcBorders>
              <w:top w:val="nil"/>
              <w:left w:val="nil"/>
              <w:bottom w:val="nil"/>
              <w:right w:val="nil"/>
            </w:tcBorders>
            <w:vAlign w:val="bottom"/>
          </w:tcPr>
          <w:p>
            <w:pPr>
              <w:widowControl/>
              <w:jc w:val="left"/>
              <w:rPr>
                <w:rFonts w:ascii="宋体"/>
                <w:color w:val="000000"/>
                <w:kern w:val="0"/>
                <w:sz w:val="22"/>
                <w:szCs w:val="22"/>
              </w:rPr>
            </w:pPr>
          </w:p>
        </w:tc>
        <w:tc>
          <w:tcPr>
            <w:tcW w:w="1673" w:type="dxa"/>
            <w:gridSpan w:val="2"/>
            <w:tcBorders>
              <w:top w:val="nil"/>
              <w:left w:val="nil"/>
              <w:bottom w:val="nil"/>
              <w:right w:val="nil"/>
            </w:tcBorders>
            <w:vAlign w:val="bottom"/>
          </w:tcPr>
          <w:p>
            <w:pPr>
              <w:widowControl/>
              <w:jc w:val="left"/>
              <w:rPr>
                <w:rFonts w:ascii="宋体"/>
                <w:color w:val="000000"/>
                <w:kern w:val="0"/>
                <w:sz w:val="22"/>
                <w:szCs w:val="22"/>
              </w:rPr>
            </w:pPr>
          </w:p>
        </w:tc>
        <w:tc>
          <w:tcPr>
            <w:tcW w:w="325" w:type="dxa"/>
            <w:tcBorders>
              <w:top w:val="nil"/>
              <w:left w:val="nil"/>
              <w:bottom w:val="nil"/>
              <w:right w:val="nil"/>
            </w:tcBorders>
            <w:vAlign w:val="bottom"/>
          </w:tcPr>
          <w:p>
            <w:pPr>
              <w:widowControl/>
              <w:jc w:val="left"/>
              <w:rPr>
                <w:rFonts w:ascii="宋体"/>
                <w:color w:val="000000"/>
                <w:kern w:val="0"/>
                <w:sz w:val="22"/>
                <w:szCs w:val="22"/>
              </w:rPr>
            </w:pPr>
          </w:p>
        </w:tc>
        <w:tc>
          <w:tcPr>
            <w:tcW w:w="325" w:type="dxa"/>
            <w:tcBorders>
              <w:top w:val="nil"/>
              <w:left w:val="nil"/>
              <w:bottom w:val="nil"/>
              <w:right w:val="nil"/>
            </w:tcBorders>
            <w:vAlign w:val="bottom"/>
          </w:tcPr>
          <w:p>
            <w:pPr>
              <w:widowControl/>
              <w:jc w:val="left"/>
              <w:rPr>
                <w:rFonts w:ascii="宋体"/>
                <w:color w:val="000000"/>
                <w:kern w:val="0"/>
                <w:sz w:val="22"/>
                <w:szCs w:val="22"/>
              </w:rPr>
            </w:pPr>
          </w:p>
        </w:tc>
        <w:tc>
          <w:tcPr>
            <w:tcW w:w="1936" w:type="dxa"/>
            <w:tcBorders>
              <w:top w:val="nil"/>
              <w:left w:val="nil"/>
              <w:bottom w:val="nil"/>
              <w:right w:val="nil"/>
            </w:tcBorders>
            <w:vAlign w:val="bottom"/>
          </w:tcPr>
          <w:p>
            <w:pPr>
              <w:widowControl/>
              <w:jc w:val="left"/>
              <w:rPr>
                <w:rFonts w:ascii="宋体"/>
                <w:color w:val="000000"/>
                <w:kern w:val="0"/>
                <w:sz w:val="22"/>
                <w:szCs w:val="22"/>
              </w:rPr>
            </w:pPr>
          </w:p>
        </w:tc>
        <w:tc>
          <w:tcPr>
            <w:tcW w:w="251" w:type="dxa"/>
            <w:tcBorders>
              <w:top w:val="nil"/>
              <w:left w:val="nil"/>
              <w:bottom w:val="nil"/>
              <w:right w:val="nil"/>
            </w:tcBorders>
            <w:vAlign w:val="bottom"/>
          </w:tcPr>
          <w:p>
            <w:pPr>
              <w:widowControl/>
              <w:jc w:val="left"/>
              <w:rPr>
                <w:rFonts w:ascii="宋体"/>
                <w:color w:val="000000"/>
                <w:kern w:val="0"/>
                <w:sz w:val="22"/>
                <w:szCs w:val="22"/>
              </w:rPr>
            </w:pPr>
          </w:p>
        </w:tc>
        <w:tc>
          <w:tcPr>
            <w:tcW w:w="3293" w:type="dxa"/>
            <w:gridSpan w:val="2"/>
            <w:tcBorders>
              <w:top w:val="nil"/>
              <w:left w:val="nil"/>
              <w:bottom w:val="nil"/>
              <w:right w:val="nil"/>
            </w:tcBorders>
            <w:vAlign w:val="bottom"/>
          </w:tcPr>
          <w:p>
            <w:pPr>
              <w:widowControl/>
              <w:jc w:val="left"/>
              <w:rPr>
                <w:rFonts w:ascii="宋体"/>
                <w:color w:val="000000"/>
                <w:kern w:val="0"/>
                <w:sz w:val="22"/>
                <w:szCs w:val="22"/>
              </w:rPr>
            </w:pPr>
          </w:p>
        </w:tc>
        <w:tc>
          <w:tcPr>
            <w:tcW w:w="251" w:type="dxa"/>
            <w:tcBorders>
              <w:top w:val="nil"/>
              <w:left w:val="nil"/>
              <w:bottom w:val="nil"/>
              <w:right w:val="nil"/>
            </w:tcBorders>
            <w:vAlign w:val="bottom"/>
          </w:tcPr>
          <w:p>
            <w:pPr>
              <w:widowControl/>
              <w:jc w:val="left"/>
              <w:rPr>
                <w:rFonts w:ascii="宋体"/>
                <w:color w:val="000000"/>
                <w:kern w:val="0"/>
                <w:sz w:val="22"/>
                <w:szCs w:val="22"/>
              </w:rPr>
            </w:pPr>
          </w:p>
        </w:tc>
        <w:tc>
          <w:tcPr>
            <w:tcW w:w="253" w:type="dxa"/>
            <w:tcBorders>
              <w:top w:val="nil"/>
              <w:left w:val="nil"/>
              <w:bottom w:val="nil"/>
              <w:right w:val="nil"/>
            </w:tcBorders>
            <w:vAlign w:val="bottom"/>
          </w:tcPr>
          <w:p>
            <w:pPr>
              <w:widowControl/>
              <w:jc w:val="left"/>
              <w:rPr>
                <w:rFonts w:ascii="宋体"/>
                <w:color w:val="000000"/>
                <w:kern w:val="0"/>
                <w:sz w:val="22"/>
                <w:szCs w:val="22"/>
              </w:rPr>
            </w:pPr>
          </w:p>
        </w:tc>
      </w:tr>
      <w:tr>
        <w:tblPrEx>
          <w:tblLayout w:type="fixed"/>
          <w:tblCellMar>
            <w:top w:w="0" w:type="dxa"/>
            <w:left w:w="108" w:type="dxa"/>
            <w:bottom w:w="0" w:type="dxa"/>
            <w:right w:w="108" w:type="dxa"/>
          </w:tblCellMar>
        </w:tblPrEx>
        <w:trPr>
          <w:trHeight w:val="211" w:hRule="atLeast"/>
        </w:trPr>
        <w:tc>
          <w:tcPr>
            <w:tcW w:w="22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预算单位</w:t>
            </w:r>
          </w:p>
        </w:tc>
        <w:tc>
          <w:tcPr>
            <w:tcW w:w="5863" w:type="dxa"/>
            <w:gridSpan w:val="6"/>
            <w:tcBorders>
              <w:top w:val="single" w:color="auto" w:sz="4" w:space="0"/>
              <w:left w:val="nil"/>
              <w:bottom w:val="single" w:color="auto" w:sz="4" w:space="0"/>
              <w:right w:val="single" w:color="auto" w:sz="4" w:space="0"/>
            </w:tcBorders>
            <w:vAlign w:val="center"/>
          </w:tcPr>
          <w:p>
            <w:pPr>
              <w:widowControl/>
              <w:jc w:val="center"/>
              <w:rPr>
                <w:rFonts w:ascii="宋体"/>
                <w:kern w:val="0"/>
              </w:rPr>
            </w:pPr>
            <w:r>
              <w:rPr>
                <w:rFonts w:hint="eastAsia" w:ascii="宋体" w:hAnsi="宋体" w:cs="宋体"/>
              </w:rPr>
              <w:t>新疆维吾尔自治区人民检察院和田分院</w:t>
            </w:r>
          </w:p>
        </w:tc>
        <w:tc>
          <w:tcPr>
            <w:tcW w:w="1936"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项目名称</w:t>
            </w:r>
          </w:p>
        </w:tc>
        <w:tc>
          <w:tcPr>
            <w:tcW w:w="4048" w:type="dxa"/>
            <w:gridSpan w:val="5"/>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2020</w:t>
            </w:r>
            <w:r>
              <w:rPr>
                <w:rFonts w:hint="eastAsia" w:ascii="宋体" w:hAnsi="宋体" w:cs="宋体"/>
                <w:kern w:val="0"/>
                <w:sz w:val="18"/>
                <w:szCs w:val="18"/>
              </w:rPr>
              <w:t>年聘用制书记员工作</w:t>
            </w:r>
          </w:p>
        </w:tc>
      </w:tr>
      <w:tr>
        <w:tblPrEx>
          <w:tblLayout w:type="fixed"/>
          <w:tblCellMar>
            <w:top w:w="0" w:type="dxa"/>
            <w:left w:w="108" w:type="dxa"/>
            <w:bottom w:w="0" w:type="dxa"/>
            <w:right w:w="108" w:type="dxa"/>
          </w:tblCellMar>
        </w:tblPrEx>
        <w:trPr>
          <w:trHeight w:val="282" w:hRule="atLeast"/>
        </w:trPr>
        <w:tc>
          <w:tcPr>
            <w:tcW w:w="2208" w:type="dxa"/>
            <w:tcBorders>
              <w:top w:val="nil"/>
              <w:left w:val="single" w:color="auto" w:sz="4" w:space="0"/>
              <w:bottom w:val="single" w:color="auto" w:sz="4" w:space="0"/>
              <w:right w:val="single" w:color="auto"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项目资金（万元）</w:t>
            </w:r>
          </w:p>
        </w:tc>
        <w:tc>
          <w:tcPr>
            <w:tcW w:w="1867" w:type="dxa"/>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年度资金总额：</w:t>
            </w:r>
          </w:p>
        </w:tc>
        <w:tc>
          <w:tcPr>
            <w:tcW w:w="2175" w:type="dxa"/>
            <w:gridSpan w:val="2"/>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161</w:t>
            </w:r>
            <w:r>
              <w:rPr>
                <w:rFonts w:hint="eastAsia" w:ascii="宋体" w:hAnsi="宋体" w:cs="宋体"/>
                <w:kern w:val="0"/>
                <w:sz w:val="18"/>
                <w:szCs w:val="18"/>
              </w:rPr>
              <w:t>　</w:t>
            </w:r>
          </w:p>
        </w:tc>
        <w:tc>
          <w:tcPr>
            <w:tcW w:w="1821"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其中：财政拨款</w:t>
            </w:r>
          </w:p>
        </w:tc>
        <w:tc>
          <w:tcPr>
            <w:tcW w:w="1936" w:type="dxa"/>
            <w:tcBorders>
              <w:top w:val="nil"/>
              <w:left w:val="nil"/>
              <w:bottom w:val="single" w:color="auto" w:sz="4" w:space="0"/>
              <w:right w:val="single" w:color="auto" w:sz="4" w:space="0"/>
            </w:tcBorders>
            <w:vAlign w:val="center"/>
          </w:tcPr>
          <w:p>
            <w:pPr>
              <w:widowControl/>
              <w:jc w:val="center"/>
              <w:rPr>
                <w:rFonts w:ascii="宋体"/>
                <w:kern w:val="0"/>
                <w:sz w:val="18"/>
                <w:szCs w:val="18"/>
              </w:rPr>
            </w:pPr>
            <w:r>
              <w:rPr>
                <w:rFonts w:ascii="宋体" w:hAnsi="宋体" w:cs="宋体"/>
                <w:kern w:val="0"/>
                <w:sz w:val="18"/>
                <w:szCs w:val="18"/>
              </w:rPr>
              <w:t>161</w:t>
            </w:r>
            <w:r>
              <w:rPr>
                <w:rFonts w:hint="eastAsia" w:ascii="宋体" w:hAnsi="宋体" w:cs="宋体"/>
                <w:kern w:val="0"/>
                <w:sz w:val="18"/>
                <w:szCs w:val="18"/>
              </w:rPr>
              <w:t>　</w:t>
            </w:r>
          </w:p>
        </w:tc>
        <w:tc>
          <w:tcPr>
            <w:tcW w:w="1389" w:type="dxa"/>
            <w:gridSpan w:val="2"/>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其他资金</w:t>
            </w:r>
          </w:p>
        </w:tc>
        <w:tc>
          <w:tcPr>
            <w:tcW w:w="2659" w:type="dxa"/>
            <w:gridSpan w:val="3"/>
            <w:tcBorders>
              <w:top w:val="single" w:color="auto" w:sz="4" w:space="0"/>
              <w:left w:val="nil"/>
              <w:bottom w:val="single" w:color="auto" w:sz="4" w:space="0"/>
              <w:right w:val="single" w:color="auto" w:sz="4" w:space="0"/>
            </w:tcBorders>
            <w:vAlign w:val="center"/>
          </w:tcPr>
          <w:p>
            <w:pPr>
              <w:widowControl/>
              <w:jc w:val="center"/>
              <w:rPr>
                <w:rFonts w:ascii="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817" w:hRule="atLeast"/>
        </w:trPr>
        <w:tc>
          <w:tcPr>
            <w:tcW w:w="2208"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项目总体目标</w:t>
            </w:r>
          </w:p>
        </w:tc>
        <w:tc>
          <w:tcPr>
            <w:tcW w:w="11847" w:type="dxa"/>
            <w:gridSpan w:val="12"/>
            <w:tcBorders>
              <w:top w:val="nil"/>
              <w:left w:val="nil"/>
              <w:bottom w:val="single" w:color="000000" w:sz="4" w:space="0"/>
              <w:right w:val="single" w:color="000000" w:sz="4" w:space="0"/>
            </w:tcBorders>
          </w:tcPr>
          <w:p>
            <w:pPr>
              <w:widowControl/>
              <w:jc w:val="left"/>
              <w:rPr>
                <w:rFonts w:ascii="宋体"/>
                <w:kern w:val="0"/>
                <w:sz w:val="13"/>
                <w:szCs w:val="13"/>
              </w:rPr>
            </w:pPr>
            <w:r>
              <w:rPr>
                <w:rFonts w:hint="eastAsia" w:ascii="宋体" w:hAnsi="宋体" w:cs="宋体"/>
                <w:kern w:val="0"/>
                <w:sz w:val="18"/>
                <w:szCs w:val="18"/>
              </w:rPr>
              <w:t>　本项目的实施是司法体制改革的客观需要，有利于满足检察队伍工作的需要。</w:t>
            </w:r>
          </w:p>
        </w:tc>
      </w:tr>
      <w:tr>
        <w:tblPrEx>
          <w:tblLayout w:type="fixed"/>
          <w:tblCellMar>
            <w:top w:w="0" w:type="dxa"/>
            <w:left w:w="108" w:type="dxa"/>
            <w:bottom w:w="0" w:type="dxa"/>
            <w:right w:w="108" w:type="dxa"/>
          </w:tblCellMar>
        </w:tblPrEx>
        <w:trPr>
          <w:trHeight w:val="212" w:hRule="atLeast"/>
        </w:trPr>
        <w:tc>
          <w:tcPr>
            <w:tcW w:w="2208" w:type="dxa"/>
            <w:tcBorders>
              <w:top w:val="nil"/>
              <w:left w:val="single" w:color="000000" w:sz="4" w:space="0"/>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一级指标</w:t>
            </w:r>
          </w:p>
        </w:tc>
        <w:tc>
          <w:tcPr>
            <w:tcW w:w="1867" w:type="dxa"/>
            <w:tcBorders>
              <w:top w:val="nil"/>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二级指标</w:t>
            </w:r>
          </w:p>
        </w:tc>
        <w:tc>
          <w:tcPr>
            <w:tcW w:w="6183"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三级指标</w:t>
            </w:r>
          </w:p>
        </w:tc>
        <w:tc>
          <w:tcPr>
            <w:tcW w:w="379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1" w:hRule="atLeast"/>
        </w:trPr>
        <w:tc>
          <w:tcPr>
            <w:tcW w:w="22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项目完成指标</w:t>
            </w:r>
          </w:p>
        </w:tc>
        <w:tc>
          <w:tcPr>
            <w:tcW w:w="186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成本指标</w:t>
            </w: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招聘书记员本科工资发放标准（元</w:t>
            </w:r>
            <w:r>
              <w:t>/</w:t>
            </w:r>
            <w:r>
              <w:rPr>
                <w:rFonts w:hint="eastAsia" w:cs="宋体"/>
              </w:rPr>
              <w:t>人</w:t>
            </w:r>
            <w:r>
              <w:t>/</w:t>
            </w:r>
            <w:r>
              <w:rPr>
                <w:rFonts w:hint="eastAsia" w:cs="宋体"/>
              </w:rPr>
              <w:t>月）</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6676</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招聘书记员专科工资发放标准（元</w:t>
            </w:r>
            <w:r>
              <w:t>/</w:t>
            </w:r>
            <w:r>
              <w:rPr>
                <w:rFonts w:hint="eastAsia" w:cs="宋体"/>
              </w:rPr>
              <w:t>人</w:t>
            </w:r>
            <w:r>
              <w:t>/</w:t>
            </w:r>
            <w:r>
              <w:rPr>
                <w:rFonts w:hint="eastAsia" w:cs="宋体"/>
              </w:rPr>
              <w:t>月）</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6747</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时效指标</w:t>
            </w: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协助办理案件审结及时率（</w:t>
            </w:r>
            <w:r>
              <w:t>%</w:t>
            </w:r>
            <w:r>
              <w:rPr>
                <w:rFonts w:hint="eastAsia" w:cs="宋体"/>
              </w:rPr>
              <w:t>）</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100%</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人员工资发放及时率（</w:t>
            </w:r>
            <w:r>
              <w:t>%</w:t>
            </w:r>
            <w:r>
              <w:rPr>
                <w:rFonts w:hint="eastAsia" w:cs="宋体"/>
              </w:rPr>
              <w:t>）</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100%</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数量指标</w:t>
            </w: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招聘书记员本科人数（人）</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10</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招聘书记员专科人数（人）</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10</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参与办案量（件）</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rPr>
                <w:rFonts w:hint="eastAsia" w:cs="宋体"/>
              </w:rPr>
              <w:t>≥</w:t>
            </w:r>
            <w:r>
              <w:t>300</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归档案卷量（件）</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rPr>
                <w:rFonts w:hint="eastAsia" w:cs="宋体"/>
              </w:rPr>
              <w:t>≥</w:t>
            </w:r>
            <w:r>
              <w:t>300</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质量指标</w:t>
            </w: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案件审理记录工作质量达标率（</w:t>
            </w:r>
            <w:r>
              <w:t>%</w:t>
            </w:r>
            <w:r>
              <w:rPr>
                <w:rFonts w:hint="eastAsia" w:cs="宋体"/>
              </w:rPr>
              <w:t>）</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100%</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案件的整理归档工作完成率（</w:t>
            </w:r>
            <w:r>
              <w:t>%</w:t>
            </w:r>
            <w:r>
              <w:rPr>
                <w:rFonts w:hint="eastAsia" w:cs="宋体"/>
              </w:rPr>
              <w:t>）</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100%</w:t>
            </w:r>
          </w:p>
        </w:tc>
      </w:tr>
      <w:tr>
        <w:tblPrEx>
          <w:tblLayout w:type="fixed"/>
          <w:tblCellMar>
            <w:top w:w="0" w:type="dxa"/>
            <w:left w:w="108" w:type="dxa"/>
            <w:bottom w:w="0" w:type="dxa"/>
            <w:right w:w="108" w:type="dxa"/>
          </w:tblCellMar>
        </w:tblPrEx>
        <w:trPr>
          <w:trHeight w:val="211"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人员考核合格率（</w:t>
            </w:r>
            <w:r>
              <w:t>%</w:t>
            </w:r>
            <w:r>
              <w:rPr>
                <w:rFonts w:hint="eastAsia" w:cs="宋体"/>
              </w:rPr>
              <w:t>）</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rPr>
                <w:rFonts w:hint="eastAsia" w:cs="宋体"/>
              </w:rPr>
              <w:t>≥</w:t>
            </w:r>
            <w:r>
              <w:t>95%</w:t>
            </w:r>
          </w:p>
        </w:tc>
      </w:tr>
      <w:tr>
        <w:tblPrEx>
          <w:tblLayout w:type="fixed"/>
          <w:tblCellMar>
            <w:top w:w="0" w:type="dxa"/>
            <w:left w:w="108" w:type="dxa"/>
            <w:bottom w:w="0" w:type="dxa"/>
            <w:right w:w="108" w:type="dxa"/>
          </w:tblCellMar>
        </w:tblPrEx>
        <w:trPr>
          <w:trHeight w:val="220" w:hRule="atLeast"/>
        </w:trPr>
        <w:tc>
          <w:tcPr>
            <w:tcW w:w="22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项目效益指标</w:t>
            </w:r>
          </w:p>
        </w:tc>
        <w:tc>
          <w:tcPr>
            <w:tcW w:w="186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可持续影响指标</w:t>
            </w: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提高办案效率和办案质量</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rPr>
                <w:rFonts w:hint="eastAsia" w:cs="宋体"/>
              </w:rPr>
              <w:t>长期</w:t>
            </w:r>
          </w:p>
        </w:tc>
      </w:tr>
      <w:tr>
        <w:tblPrEx>
          <w:tblLayout w:type="fixed"/>
          <w:tblCellMar>
            <w:top w:w="0" w:type="dxa"/>
            <w:left w:w="108" w:type="dxa"/>
            <w:bottom w:w="0" w:type="dxa"/>
            <w:right w:w="108" w:type="dxa"/>
          </w:tblCellMar>
        </w:tblPrEx>
        <w:trPr>
          <w:trHeight w:val="220" w:hRule="atLeast"/>
        </w:trPr>
        <w:tc>
          <w:tcPr>
            <w:tcW w:w="22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kern w:val="0"/>
                <w:sz w:val="18"/>
                <w:szCs w:val="18"/>
              </w:rPr>
            </w:pPr>
          </w:p>
        </w:tc>
        <w:tc>
          <w:tcPr>
            <w:tcW w:w="186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社会效益指标</w:t>
            </w: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带动人员就业（人）</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Arial" w:hAnsi="Arial" w:cs="Arial"/>
                <w:sz w:val="24"/>
                <w:szCs w:val="24"/>
              </w:rPr>
            </w:pPr>
            <w:r>
              <w:rPr>
                <w:rFonts w:ascii="Arial" w:hAnsi="Arial" w:cs="Arial"/>
              </w:rPr>
              <w:t>≥</w:t>
            </w:r>
            <w:r>
              <w:t>20</w:t>
            </w:r>
          </w:p>
        </w:tc>
      </w:tr>
      <w:tr>
        <w:tblPrEx>
          <w:tblLayout w:type="fixed"/>
          <w:tblCellMar>
            <w:top w:w="0" w:type="dxa"/>
            <w:left w:w="108" w:type="dxa"/>
            <w:bottom w:w="0" w:type="dxa"/>
            <w:right w:w="108" w:type="dxa"/>
          </w:tblCellMar>
        </w:tblPrEx>
        <w:trPr>
          <w:trHeight w:val="211" w:hRule="atLeast"/>
        </w:trPr>
        <w:tc>
          <w:tcPr>
            <w:tcW w:w="2208"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186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 w:val="18"/>
                <w:szCs w:val="18"/>
              </w:rPr>
            </w:pPr>
            <w:r>
              <w:rPr>
                <w:rFonts w:hint="eastAsia" w:ascii="宋体" w:hAnsi="宋体" w:cs="宋体"/>
                <w:kern w:val="0"/>
                <w:sz w:val="18"/>
                <w:szCs w:val="18"/>
              </w:rPr>
              <w:t>满意度指标</w:t>
            </w:r>
          </w:p>
        </w:tc>
        <w:tc>
          <w:tcPr>
            <w:tcW w:w="6183" w:type="dxa"/>
            <w:gridSpan w:val="7"/>
            <w:tcBorders>
              <w:top w:val="single" w:color="000000" w:sz="4" w:space="0"/>
              <w:left w:val="nil"/>
              <w:bottom w:val="single" w:color="000000" w:sz="4" w:space="0"/>
              <w:right w:val="single" w:color="000000" w:sz="4" w:space="0"/>
            </w:tcBorders>
            <w:vAlign w:val="center"/>
          </w:tcPr>
          <w:p>
            <w:pPr>
              <w:rPr>
                <w:rFonts w:ascii="宋体"/>
                <w:sz w:val="24"/>
                <w:szCs w:val="24"/>
              </w:rPr>
            </w:pPr>
            <w:r>
              <w:rPr>
                <w:rFonts w:hint="eastAsia" w:cs="宋体"/>
              </w:rPr>
              <w:t>公众安全感指数（</w:t>
            </w:r>
            <w:r>
              <w:t>%</w:t>
            </w:r>
            <w:r>
              <w:rPr>
                <w:rFonts w:hint="eastAsia" w:cs="宋体"/>
              </w:rPr>
              <w:t>）</w:t>
            </w:r>
          </w:p>
        </w:tc>
        <w:tc>
          <w:tcPr>
            <w:tcW w:w="3797" w:type="dxa"/>
            <w:gridSpan w:val="4"/>
            <w:tcBorders>
              <w:top w:val="single" w:color="000000" w:sz="4" w:space="0"/>
              <w:left w:val="nil"/>
              <w:bottom w:val="single" w:color="000000" w:sz="4" w:space="0"/>
              <w:right w:val="single" w:color="000000" w:sz="4" w:space="0"/>
            </w:tcBorders>
            <w:vAlign w:val="center"/>
          </w:tcPr>
          <w:p>
            <w:pPr>
              <w:jc w:val="center"/>
              <w:rPr>
                <w:rFonts w:ascii="宋体"/>
                <w:sz w:val="24"/>
                <w:szCs w:val="24"/>
              </w:rPr>
            </w:pPr>
            <w:r>
              <w:t>=100%</w:t>
            </w:r>
          </w:p>
        </w:tc>
      </w:tr>
    </w:tbl>
    <w:p>
      <w:pPr>
        <w:widowControl/>
        <w:spacing w:line="560" w:lineRule="exact"/>
        <w:ind w:firstLine="630" w:firstLineChars="196"/>
        <w:jc w:val="left"/>
        <w:rPr>
          <w:rFonts w:ascii="楷体_GB2312" w:hAnsi="宋体" w:eastAsia="楷体_GB2312"/>
          <w:b/>
          <w:bCs/>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（五）其他需说明的事项</w:t>
      </w:r>
    </w:p>
    <w:p>
      <w:pPr>
        <w:widowControl/>
        <w:spacing w:line="520" w:lineRule="exact"/>
        <w:jc w:val="left"/>
        <w:rPr>
          <w:rFonts w:ascii="仿宋_GB2312" w:hAnsi="宋体"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cs="黑体"/>
          <w:kern w:val="0"/>
          <w:sz w:val="32"/>
          <w:szCs w:val="32"/>
        </w:rPr>
        <w:t>第四部分</w:t>
      </w:r>
      <w:r>
        <w:rPr>
          <w:rFonts w:ascii="黑体" w:hAnsi="黑体" w:eastAsia="黑体" w:cs="黑体"/>
          <w:kern w:val="0"/>
          <w:sz w:val="32"/>
          <w:szCs w:val="32"/>
        </w:rPr>
        <w:t xml:space="preserve">  </w:t>
      </w:r>
      <w:r>
        <w:rPr>
          <w:rFonts w:hint="eastAsia" w:ascii="黑体" w:hAnsi="黑体" w:eastAsia="黑体" w:cs="黑体"/>
          <w:kern w:val="0"/>
          <w:sz w:val="32"/>
          <w:szCs w:val="32"/>
        </w:rPr>
        <w:t>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kern w:val="0"/>
          <w:sz w:val="32"/>
          <w:szCs w:val="32"/>
        </w:rPr>
      </w:pPr>
      <w:r>
        <w:rPr>
          <w:rFonts w:hint="eastAsia" w:ascii="黑体" w:hAnsi="宋体" w:eastAsia="黑体" w:cs="黑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cs="黑体"/>
          <w:sz w:val="32"/>
          <w:szCs w:val="32"/>
        </w:rPr>
        <w:t>一、财政拨款：</w:t>
      </w:r>
      <w:r>
        <w:rPr>
          <w:rFonts w:hint="eastAsia" w:ascii="仿宋_GB2312" w:eastAsia="仿宋_GB2312" w:cs="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cs="黑体"/>
          <w:sz w:val="32"/>
          <w:szCs w:val="32"/>
        </w:rPr>
        <w:t>二、一般公共预算：</w:t>
      </w:r>
      <w:r>
        <w:rPr>
          <w:rFonts w:hint="eastAsia" w:ascii="仿宋_GB2312" w:eastAsia="仿宋_GB2312" w:cs="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cs="黑体"/>
          <w:sz w:val="32"/>
          <w:szCs w:val="32"/>
        </w:rPr>
        <w:t>三、财政专户管理资金：</w:t>
      </w:r>
      <w:r>
        <w:rPr>
          <w:rFonts w:hint="eastAsia" w:ascii="仿宋_GB2312" w:eastAsia="仿宋_GB2312" w:cs="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cs="黑体"/>
          <w:sz w:val="32"/>
          <w:szCs w:val="32"/>
        </w:rPr>
        <w:t>四、其他资金：</w:t>
      </w:r>
      <w:r>
        <w:rPr>
          <w:rFonts w:hint="eastAsia" w:ascii="仿宋_GB2312" w:eastAsia="仿宋_GB2312" w:cs="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cs="黑体"/>
          <w:sz w:val="32"/>
          <w:szCs w:val="32"/>
        </w:rPr>
        <w:t>五、基本支出：</w:t>
      </w:r>
      <w:r>
        <w:rPr>
          <w:rFonts w:hint="eastAsia" w:ascii="仿宋_GB2312" w:eastAsia="仿宋_GB2312" w:cs="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cs="黑体"/>
          <w:sz w:val="32"/>
          <w:szCs w:val="32"/>
        </w:rPr>
        <w:t>六、项目支出：</w:t>
      </w:r>
      <w:r>
        <w:rPr>
          <w:rFonts w:hint="eastAsia" w:ascii="仿宋_GB2312" w:eastAsia="仿宋_GB2312" w:cs="仿宋_GB2312"/>
          <w:sz w:val="32"/>
          <w:szCs w:val="32"/>
        </w:rPr>
        <w:t>部门支出预算的组成部分，是和田地区本级部门为完成其特定的行政任务或事业发展目标，在基本支出预算之外编制的年度项目支出计划。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cs="黑体"/>
          <w:sz w:val="32"/>
          <w:szCs w:val="32"/>
        </w:rPr>
        <w:t>七、“三公”经费：</w:t>
      </w:r>
      <w:r>
        <w:rPr>
          <w:rFonts w:hint="eastAsia" w:ascii="仿宋_GB2312" w:eastAsia="仿宋_GB2312" w:cs="仿宋_GB2312"/>
          <w:sz w:val="32"/>
          <w:szCs w:val="32"/>
        </w:rPr>
        <w:t>指和田地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cs="黑体"/>
          <w:sz w:val="32"/>
          <w:szCs w:val="32"/>
        </w:rPr>
        <w:t>八、机关运行经费：</w:t>
      </w:r>
      <w:r>
        <w:rPr>
          <w:rFonts w:hint="eastAsia" w:ascii="仿宋_GB2312" w:eastAsia="仿宋_GB2312" w:cs="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p>
    <w:p>
      <w:pPr>
        <w:widowControl/>
        <w:spacing w:line="520" w:lineRule="exact"/>
        <w:jc w:val="left"/>
        <w:rPr>
          <w:rFonts w:ascii="仿宋_GB2312" w:hAnsi="宋体" w:eastAsia="仿宋_GB2312" w:cs="仿宋_GB2312"/>
          <w:kern w:val="0"/>
          <w:sz w:val="32"/>
          <w:szCs w:val="32"/>
        </w:rPr>
      </w:pPr>
    </w:p>
    <w:p>
      <w:pPr>
        <w:widowControl/>
        <w:spacing w:line="520" w:lineRule="exact"/>
        <w:jc w:val="left"/>
        <w:rPr>
          <w:rFonts w:ascii="仿宋_GB2312" w:hAnsi="宋体" w:eastAsia="仿宋_GB2312" w:cs="仿宋_GB2312"/>
          <w:kern w:val="0"/>
          <w:sz w:val="32"/>
          <w:szCs w:val="32"/>
        </w:rPr>
      </w:pPr>
    </w:p>
    <w:p>
      <w:pPr>
        <w:widowControl/>
        <w:spacing w:line="520" w:lineRule="exact"/>
        <w:jc w:val="left"/>
        <w:rPr>
          <w:rFonts w:ascii="仿宋_GB2312" w:hAnsi="宋体" w:eastAsia="仿宋_GB2312" w:cs="仿宋_GB2312"/>
          <w:kern w:val="0"/>
          <w:sz w:val="32"/>
          <w:szCs w:val="32"/>
        </w:rPr>
      </w:pPr>
    </w:p>
    <w:p>
      <w:pPr>
        <w:widowControl/>
        <w:spacing w:line="520" w:lineRule="exact"/>
        <w:jc w:val="left"/>
        <w:rPr>
          <w:rFonts w:ascii="仿宋_GB2312" w:hAnsi="宋体" w:eastAsia="仿宋_GB2312" w:cs="仿宋_GB2312"/>
          <w:kern w:val="0"/>
          <w:sz w:val="32"/>
          <w:szCs w:val="32"/>
        </w:rPr>
      </w:pPr>
    </w:p>
    <w:p>
      <w:pPr>
        <w:widowControl/>
        <w:spacing w:line="520" w:lineRule="exact"/>
        <w:jc w:val="center"/>
        <w:rPr>
          <w:rFonts w:ascii="仿宋_GB2312" w:hAnsi="宋体" w:eastAsia="仿宋_GB2312"/>
          <w:kern w:val="0"/>
          <w:sz w:val="32"/>
          <w:szCs w:val="32"/>
        </w:rPr>
      </w:pPr>
      <w:r>
        <w:rPr>
          <w:rFonts w:hint="eastAsia" w:ascii="宋体" w:hAnsi="宋体" w:cs="宋体"/>
          <w:sz w:val="30"/>
          <w:szCs w:val="30"/>
        </w:rPr>
        <w:t>新疆维吾尔自治区人民检察院和田分院</w:t>
      </w:r>
      <w:r>
        <w:rPr>
          <w:rFonts w:ascii="仿宋_GB2312" w:hAnsi="宋体" w:eastAsia="仿宋_GB2312" w:cs="仿宋_GB2312"/>
          <w:kern w:val="0"/>
          <w:sz w:val="30"/>
          <w:szCs w:val="30"/>
        </w:rPr>
        <w:t xml:space="preserve">   </w:t>
      </w:r>
      <w:r>
        <w:rPr>
          <w:rFonts w:ascii="仿宋_GB2312" w:hAnsi="宋体" w:eastAsia="仿宋_GB2312" w:cs="仿宋_GB2312"/>
          <w:kern w:val="0"/>
          <w:sz w:val="24"/>
          <w:szCs w:val="24"/>
        </w:rPr>
        <w:t xml:space="preserve">                         </w:t>
      </w:r>
      <w:r>
        <w:rPr>
          <w:rFonts w:ascii="仿宋_GB2312" w:hAnsi="宋体" w:eastAsia="仿宋_GB2312" w:cs="仿宋_GB2312"/>
          <w:kern w:val="0"/>
          <w:sz w:val="32"/>
          <w:szCs w:val="32"/>
        </w:rPr>
        <w:t xml:space="preserve">   2020</w:t>
      </w: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日</w:t>
      </w:r>
    </w:p>
    <w:p>
      <w:pPr>
        <w:widowControl/>
        <w:spacing w:before="100" w:beforeAutospacing="1" w:after="100" w:afterAutospacing="1"/>
        <w:outlineLvl w:val="1"/>
        <w:rPr>
          <w:rFonts w:ascii="黑体" w:hAnsi="黑体" w:eastAsia="黑体"/>
          <w:kern w:val="0"/>
          <w:sz w:val="32"/>
          <w:szCs w:val="32"/>
        </w:rPr>
      </w:pPr>
    </w:p>
    <w:p>
      <w:pPr>
        <w:widowControl/>
        <w:spacing w:before="100" w:beforeAutospacing="1" w:after="100" w:afterAutospacing="1"/>
        <w:outlineLvl w:val="1"/>
        <w:rPr>
          <w:rFonts w:ascii="黑体" w:hAnsi="黑体" w:eastAsia="黑体"/>
          <w:kern w:val="0"/>
          <w:sz w:val="32"/>
          <w:szCs w:val="32"/>
        </w:rPr>
      </w:pPr>
    </w:p>
    <w:p>
      <w:pPr>
        <w:widowControl/>
        <w:spacing w:before="100" w:beforeAutospacing="1" w:after="100" w:afterAutospacing="1"/>
        <w:outlineLvl w:val="1"/>
        <w:rPr>
          <w:rFonts w:ascii="宋体"/>
          <w:b/>
          <w:bCs/>
          <w:kern w:val="0"/>
          <w:sz w:val="44"/>
          <w:szCs w:val="44"/>
        </w:rPr>
      </w:pPr>
    </w:p>
    <w:p>
      <w:r>
        <w:object>
          <v:shape id="_x0000_i1025" o:spt="75" type="#_x0000_t75" style="height:15.75pt;width:415.5pt;" o:ole="t" filled="f" o:preferrelative="t" stroked="f" coordsize="21600,21600">
            <v:path/>
            <v:fill on="f" focussize="0,0"/>
            <v:stroke on="f" joinstyle="miter"/>
            <v:imagedata r:id="rId8" o:title=""/>
            <o:lock v:ext="edit" aspectratio="t"/>
            <w10:wrap type="none"/>
            <w10:anchorlock/>
          </v:shape>
          <o:OLEObject Type="Embed" ProgID="Msxml2.SAXXMLReader.5.0" ShapeID="_x0000_i1025" DrawAspect="Content" ObjectID="_1468075725" r:id="rId7">
            <o:LockedField>false</o:LockedField>
          </o:OLEObject>
        </w:objec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32 -</w:t>
    </w:r>
    <w:r>
      <w:rPr>
        <w:rFonts w:ascii="宋体" w:hAnsi="宋体" w:eastAsia="宋体" w:cs="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34</w:t>
    </w:r>
    <w:r>
      <w:rPr>
        <w:rFonts w:ascii="宋体" w:hAnsi="宋体" w:eastAsia="宋体" w:cs="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8E6BD"/>
    <w:multiLevelType w:val="singleLevel"/>
    <w:tmpl w:val="EFC8E6BD"/>
    <w:lvl w:ilvl="0" w:tentative="0">
      <w:start w:val="2"/>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005D3"/>
    <w:rsid w:val="00040FCC"/>
    <w:rsid w:val="00076A58"/>
    <w:rsid w:val="000850CD"/>
    <w:rsid w:val="000A5A73"/>
    <w:rsid w:val="000C6CC4"/>
    <w:rsid w:val="000D7DDC"/>
    <w:rsid w:val="000E21AC"/>
    <w:rsid w:val="00154852"/>
    <w:rsid w:val="00174751"/>
    <w:rsid w:val="001C725C"/>
    <w:rsid w:val="001D4AEF"/>
    <w:rsid w:val="001E1458"/>
    <w:rsid w:val="002031A6"/>
    <w:rsid w:val="00203B00"/>
    <w:rsid w:val="002230E4"/>
    <w:rsid w:val="00236EC6"/>
    <w:rsid w:val="0025799E"/>
    <w:rsid w:val="002633E6"/>
    <w:rsid w:val="00287D3E"/>
    <w:rsid w:val="002A1CDC"/>
    <w:rsid w:val="002B5144"/>
    <w:rsid w:val="002E38D4"/>
    <w:rsid w:val="00325B17"/>
    <w:rsid w:val="00327823"/>
    <w:rsid w:val="00333269"/>
    <w:rsid w:val="0037102D"/>
    <w:rsid w:val="00374D58"/>
    <w:rsid w:val="0039460A"/>
    <w:rsid w:val="0039635C"/>
    <w:rsid w:val="003A4C1C"/>
    <w:rsid w:val="003C6AD2"/>
    <w:rsid w:val="00465C33"/>
    <w:rsid w:val="00471322"/>
    <w:rsid w:val="00484C0D"/>
    <w:rsid w:val="00506DC4"/>
    <w:rsid w:val="00526C02"/>
    <w:rsid w:val="0058039E"/>
    <w:rsid w:val="00581974"/>
    <w:rsid w:val="00581E8F"/>
    <w:rsid w:val="005A465F"/>
    <w:rsid w:val="005A7129"/>
    <w:rsid w:val="005B6627"/>
    <w:rsid w:val="005D6D9E"/>
    <w:rsid w:val="005F1CB2"/>
    <w:rsid w:val="00610323"/>
    <w:rsid w:val="0066316C"/>
    <w:rsid w:val="00664090"/>
    <w:rsid w:val="00743483"/>
    <w:rsid w:val="007A3DDF"/>
    <w:rsid w:val="007A68E8"/>
    <w:rsid w:val="007C39C0"/>
    <w:rsid w:val="007E4A85"/>
    <w:rsid w:val="007F0253"/>
    <w:rsid w:val="0080771D"/>
    <w:rsid w:val="00824255"/>
    <w:rsid w:val="008A5170"/>
    <w:rsid w:val="008C1BB5"/>
    <w:rsid w:val="008E25FB"/>
    <w:rsid w:val="008E2EAE"/>
    <w:rsid w:val="008F2B18"/>
    <w:rsid w:val="00934E4F"/>
    <w:rsid w:val="009352E3"/>
    <w:rsid w:val="009B7408"/>
    <w:rsid w:val="009C6EE4"/>
    <w:rsid w:val="00A17C85"/>
    <w:rsid w:val="00AF1BD9"/>
    <w:rsid w:val="00AF759D"/>
    <w:rsid w:val="00B131CB"/>
    <w:rsid w:val="00B33F68"/>
    <w:rsid w:val="00B53999"/>
    <w:rsid w:val="00B81C31"/>
    <w:rsid w:val="00BB2B1A"/>
    <w:rsid w:val="00BD4EE8"/>
    <w:rsid w:val="00BE3160"/>
    <w:rsid w:val="00BE5CE5"/>
    <w:rsid w:val="00BF31AC"/>
    <w:rsid w:val="00C14E55"/>
    <w:rsid w:val="00C169B9"/>
    <w:rsid w:val="00C43F8B"/>
    <w:rsid w:val="00C450C9"/>
    <w:rsid w:val="00C6613D"/>
    <w:rsid w:val="00CB0C93"/>
    <w:rsid w:val="00CB4542"/>
    <w:rsid w:val="00CC0BDD"/>
    <w:rsid w:val="00CC1F4A"/>
    <w:rsid w:val="00CE14B6"/>
    <w:rsid w:val="00CE785B"/>
    <w:rsid w:val="00CF3227"/>
    <w:rsid w:val="00D106A9"/>
    <w:rsid w:val="00D26BAE"/>
    <w:rsid w:val="00D620F4"/>
    <w:rsid w:val="00D743B0"/>
    <w:rsid w:val="00D81707"/>
    <w:rsid w:val="00DB0743"/>
    <w:rsid w:val="00DD12DA"/>
    <w:rsid w:val="00DF43BE"/>
    <w:rsid w:val="00EC033D"/>
    <w:rsid w:val="00EC03D0"/>
    <w:rsid w:val="00EF5BCB"/>
    <w:rsid w:val="00F307F5"/>
    <w:rsid w:val="00F831E1"/>
    <w:rsid w:val="00F87C7F"/>
    <w:rsid w:val="00FC6ABD"/>
    <w:rsid w:val="07926BB2"/>
    <w:rsid w:val="083F3F26"/>
    <w:rsid w:val="1390306C"/>
    <w:rsid w:val="16CC35E5"/>
    <w:rsid w:val="2A6F25F2"/>
    <w:rsid w:val="2CCB2716"/>
    <w:rsid w:val="2D751AD9"/>
    <w:rsid w:val="2DEF3402"/>
    <w:rsid w:val="33244E4C"/>
    <w:rsid w:val="34B037C5"/>
    <w:rsid w:val="40821880"/>
    <w:rsid w:val="45836DFE"/>
    <w:rsid w:val="4C0673AC"/>
    <w:rsid w:val="51F0757E"/>
    <w:rsid w:val="52557DA7"/>
    <w:rsid w:val="52623AE9"/>
    <w:rsid w:val="58175DAE"/>
    <w:rsid w:val="60B43A56"/>
    <w:rsid w:val="79034547"/>
    <w:rsid w:val="7BFB0F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szCs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table" w:styleId="11">
    <w:name w:val="Table Grid"/>
    <w:basedOn w:val="10"/>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Balloon Text Char"/>
    <w:basedOn w:val="7"/>
    <w:link w:val="2"/>
    <w:semiHidden/>
    <w:qFormat/>
    <w:locked/>
    <w:uiPriority w:val="99"/>
    <w:rPr>
      <w:rFonts w:ascii="Times New Roman" w:hAnsi="Times New Roman" w:eastAsia="宋体" w:cs="Times New Roman"/>
      <w:sz w:val="18"/>
      <w:szCs w:val="18"/>
    </w:rPr>
  </w:style>
  <w:style w:type="character" w:customStyle="1" w:styleId="13">
    <w:name w:val="Footer Char"/>
    <w:basedOn w:val="7"/>
    <w:link w:val="3"/>
    <w:qFormat/>
    <w:locked/>
    <w:uiPriority w:val="99"/>
    <w:rPr>
      <w:rFonts w:ascii="Times New Roman" w:hAnsi="Times New Roman" w:eastAsia="黑体" w:cs="Times New Roman"/>
      <w:snapToGrid w:val="0"/>
      <w:kern w:val="0"/>
      <w:sz w:val="18"/>
      <w:szCs w:val="18"/>
    </w:rPr>
  </w:style>
  <w:style w:type="character" w:customStyle="1" w:styleId="14">
    <w:name w:val="Header Char"/>
    <w:basedOn w:val="7"/>
    <w:link w:val="4"/>
    <w:qFormat/>
    <w:locked/>
    <w:uiPriority w:val="99"/>
    <w:rPr>
      <w:rFonts w:ascii="Times New Roman" w:hAnsi="Times New Roman" w:eastAsia="宋体" w:cs="Times New Roman"/>
      <w:sz w:val="18"/>
      <w:szCs w:val="18"/>
    </w:rPr>
  </w:style>
  <w:style w:type="character" w:customStyle="1" w:styleId="15">
    <w:name w:val="Body Text Indent 3 Char"/>
    <w:basedOn w:val="7"/>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
    <w:name w:val="列出段落1"/>
    <w:basedOn w:val="1"/>
    <w:uiPriority w:val="99"/>
    <w:pPr>
      <w:ind w:firstLine="420" w:firstLineChars="200"/>
    </w:pPr>
    <w:rPr>
      <w:rFonts w:ascii="Calibri" w:hAnsi="Calibri" w:cs="Calibri"/>
    </w:rPr>
  </w:style>
  <w:style w:type="paragraph" w:customStyle="1" w:styleId="18">
    <w:name w:val="普通(网站)1"/>
    <w:basedOn w:val="1"/>
    <w:qFormat/>
    <w:uiPriority w:val="99"/>
    <w:rPr>
      <w:rFonts w:ascii="Calibri" w:hAnsi="Calibri" w:cs="Calibri"/>
      <w:sz w:val="24"/>
      <w:szCs w:val="24"/>
    </w:rPr>
  </w:style>
  <w:style w:type="paragraph" w:customStyle="1" w:styleId="19">
    <w:name w:val="普通(网站)2"/>
    <w:basedOn w:val="1"/>
    <w:uiPriority w:val="99"/>
    <w:rPr>
      <w:rFonts w:ascii="Calibri" w:hAnsi="Calibri" w:cs="Calibri"/>
      <w:sz w:val="24"/>
      <w:szCs w:val="24"/>
    </w:rPr>
  </w:style>
  <w:style w:type="paragraph" w:customStyle="1" w:styleId="20">
    <w:name w:val="普通(网站)3"/>
    <w:basedOn w:val="1"/>
    <w:uiPriority w:val="99"/>
    <w:rPr>
      <w:rFonts w:ascii="Calibri" w:hAnsi="Calibri" w:cs="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22</Pages>
  <Words>1661</Words>
  <Characters>9469</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2020-04-08T08:49:00Z</dcterms:created>
  <dc:creator>王怡</dc:creator>
  <cp:lastModifiedBy>Administrator</cp:lastModifiedBy>
  <dcterms:modified xsi:type="dcterms:W3CDTF">2020-07-21T04:20:41Z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